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rsidR="007250AE" w:rsidRPr="007250AE" w:rsidRDefault="007250AE" w:rsidP="007250AE">
      <w:pPr>
        <w:pStyle w:val="TitleofcontributionDOKBAT"/>
      </w:pPr>
      <w:bookmarkStart w:id="0" w:name="_GoBack"/>
      <w:bookmarkEnd w:id="0"/>
      <w:r w:rsidRPr="007250AE">
        <w:t>Cluster policies and initiatives within the service sector – good practices from EU countries and recommendation for the Czech cluster policy</w:t>
      </w:r>
    </w:p>
    <w:p w:rsidR="005209CF" w:rsidRPr="00854496" w:rsidRDefault="007250AE" w:rsidP="00854496">
      <w:pPr>
        <w:pStyle w:val="NameofauthorsDOKBAT"/>
      </w:pPr>
      <w:r>
        <w:t>Martin Horák</w:t>
      </w:r>
    </w:p>
    <w:p w:rsidR="005209CF" w:rsidRPr="002D21C8" w:rsidRDefault="005209CF">
      <w:pPr>
        <w:jc w:val="center"/>
        <w:rPr>
          <w:lang w:val="en-GB"/>
        </w:rPr>
      </w:pPr>
    </w:p>
    <w:p w:rsidR="005209CF" w:rsidRPr="002D21C8" w:rsidRDefault="00065F43" w:rsidP="007D5699">
      <w:pPr>
        <w:pStyle w:val="Abstract"/>
        <w:rPr>
          <w:lang w:val="en-GB"/>
        </w:rPr>
      </w:pPr>
      <w:r w:rsidRPr="002D21C8">
        <w:rPr>
          <w:lang w:val="en-GB"/>
        </w:rPr>
        <w:t>Abstract</w:t>
      </w:r>
    </w:p>
    <w:p w:rsidR="001644C1" w:rsidRPr="001644C1" w:rsidRDefault="001644C1" w:rsidP="001644C1">
      <w:pPr>
        <w:pStyle w:val="NormalDOKBAT"/>
      </w:pPr>
      <w:r w:rsidRPr="001644C1">
        <w:t>The concept of clusters and clustering has recently gained enormous popularity among policy-makers, practitioners and academics, a fact reflected by the growing number of policies and initiatives  in support of clusters. This article focuses on cluster policies and initiatives within the service sector. The main objective of the article is to present good practices of cluster initiatives within the service sector and to propose recommendation for the Czech cluster policy in the field of services. The article describes cluster policy and identifies two common approaches: top-down and bottom-up. It then presents European examples of good practices of developing the service sector through cluster initiatives: Service Cluster Denmark (national-wide) and initiatives within the Region of North Central Sweden (regional-wide). Based on case studies and other examples of initiatives in EU countries, recommendations are made for the cluster poli</w:t>
      </w:r>
      <w:r w:rsidR="00C4556D">
        <w:t>cy in the Czech service sector.</w:t>
      </w:r>
    </w:p>
    <w:p w:rsidR="007250AE" w:rsidRDefault="007250AE" w:rsidP="007D5699">
      <w:pPr>
        <w:pStyle w:val="NormalDOKBAT"/>
      </w:pPr>
    </w:p>
    <w:p w:rsidR="007250AE" w:rsidRPr="007250AE" w:rsidRDefault="007250AE" w:rsidP="007250AE">
      <w:pPr>
        <w:pStyle w:val="KeywordsDOKBAT"/>
      </w:pPr>
      <w:r w:rsidRPr="007250AE">
        <w:t>Keywords: cluster, cluster initiative, cluster policy, service sector</w:t>
      </w:r>
    </w:p>
    <w:p w:rsidR="00ED4860" w:rsidRPr="00ED4860" w:rsidRDefault="00ED4860" w:rsidP="00ED4860">
      <w:pPr>
        <w:pStyle w:val="TitleofchapterDOKBAT"/>
      </w:pPr>
      <w:r w:rsidRPr="00ED4860">
        <w:t>Introduction</w:t>
      </w:r>
    </w:p>
    <w:p w:rsidR="001644C1" w:rsidRPr="001644C1" w:rsidRDefault="001644C1" w:rsidP="001644C1">
      <w:pPr>
        <w:pStyle w:val="NormalDOKBAT"/>
      </w:pPr>
      <w:r w:rsidRPr="001644C1">
        <w:t xml:space="preserve">The concept of cluster has been a popular scholarly topic (Swann &amp; Prevezer, 1996; Knorringa &amp; Meyer-Stamer, 1998; Cooke, 2001; Martin &amp; Sunley, 2003; Steiner &amp; Hartmann, 2006). The term cluster was firstly introduced by American professor Michael Porter in “The Competitive Advantage of Nations”. Porter (1990, p. 30) defined clusters as “geographic concentrations of interconnected companies, specialized suppliers, service providers, firms in related industries, and associated institutions (universities, standards agencies, and trade associations) in particular fields that compete but also cooperate.” His definition of cluster is the most cited among researchers and scholars. </w:t>
      </w:r>
    </w:p>
    <w:p w:rsidR="001644C1" w:rsidRPr="001644C1" w:rsidRDefault="001644C1" w:rsidP="001644C1">
      <w:pPr>
        <w:pStyle w:val="NormalDOKBAT"/>
      </w:pPr>
      <w:r w:rsidRPr="001644C1">
        <w:t>In the context of cluster, there are also scholars who focus on ways to support cluster development and which cluster policies are applied in countries. Researchers describe the situation within the cluster policy in their countries or regions (Dohse, 2007; Nowakowska-Grunt et al., 2014; Truel &amp; Volkov, 2015) and also among European countries (Hospers &amp; Beugelsdijk, 2002; Brakman &amp; Van Marrewijk, 2013; Obadić, 2013; Gafurov et al., 2014). Cluster policy is defined by Europe INNOVA and PRO INNO Europe (2008, p. 10) as “a specific governmental efforts to support clusters. Such cluster policies can take various forms and pursue different objectives, such as industrial policy, support for small and medium-sized enterprises or research and innovation policy.” However, as Christensen, Lämmer-Gamp and Meier zu Köcker (2012) state, there is no unique and generally accepted cluster policy definition in European countries. Every cluster policy has different structure and aim, but some similarities can be detected. Cluster policies are generally seen as a vital element of building strong innovations system and the main goal of cluster policies is to improve and boost a particular regional economy which enhances the national economy (Christensen, Lämmer-Gamp &amp; Meier zu Köcker, 2012)  Nevertheless, the implemented policy instruments depend on the type of cluster and specific regional needs.</w:t>
      </w:r>
    </w:p>
    <w:p w:rsidR="001644C1" w:rsidRPr="001644C1" w:rsidRDefault="001644C1" w:rsidP="001644C1">
      <w:pPr>
        <w:pStyle w:val="NormalDOKBAT"/>
      </w:pPr>
      <w:r w:rsidRPr="001644C1">
        <w:lastRenderedPageBreak/>
        <w:t>The research objectives of this article are the following: A general analysis of cluster policy; an analysis of cluster policy including presenting good practices in the service sector; a description of the cluster policy in the Czech Republic and a recommendation for the Czech service sector cluster policy.</w:t>
      </w:r>
    </w:p>
    <w:p w:rsidR="001644C1" w:rsidRPr="001644C1" w:rsidRDefault="001644C1" w:rsidP="001644C1">
      <w:pPr>
        <w:pStyle w:val="NormalDOKBAT"/>
      </w:pPr>
      <w:r w:rsidRPr="001644C1">
        <w:t>The article is structured as follows: Section 2 introduces cluster policy in general and presents the top-down and bottom-up approaches. It also identifies types of cluster policies. Section 3 is focused on cluster policies and initiatives in the service sector and identifies good practices of developing the service sector through cluster initiatives. Section 4 briefly presents the Czech cluster policy and makes recommendations for the Czech service sector.</w:t>
      </w:r>
    </w:p>
    <w:p w:rsidR="00ED4860" w:rsidRDefault="00ED4860" w:rsidP="00ED4860">
      <w:pPr>
        <w:pStyle w:val="NormalDOKBAT"/>
      </w:pPr>
    </w:p>
    <w:p w:rsidR="00ED4860" w:rsidRPr="00ED4860" w:rsidRDefault="00ED4860" w:rsidP="00ED4860">
      <w:pPr>
        <w:pStyle w:val="TitleofchapterDOKBAT"/>
      </w:pPr>
      <w:r w:rsidRPr="00ED4860">
        <w:t>Theoretical background: Cluster policy – general overview</w:t>
      </w:r>
    </w:p>
    <w:p w:rsidR="001644C1" w:rsidRPr="001644C1" w:rsidRDefault="001644C1" w:rsidP="001644C1">
      <w:pPr>
        <w:pStyle w:val="NormalDOKBAT"/>
      </w:pPr>
      <w:r w:rsidRPr="001644C1">
        <w:t>Cluster policies are defined as a way to support clusters and their development. Cluster policy is often oriented to the areas or sectors where clusters already exist. Lindqvist, Ketels and Sölvell (2003) argue that support for clusters is different across countries. In Europe, the support is aimed at innovation-intensive areas like IT. Meanwhile in emerging economies the focus is mainly given to the more traditional sectors, such as manufacturing, food processing and tourism.</w:t>
      </w:r>
    </w:p>
    <w:p w:rsidR="001644C1" w:rsidRPr="001644C1" w:rsidRDefault="001644C1" w:rsidP="001644C1">
      <w:pPr>
        <w:pStyle w:val="NormalDOKBAT"/>
      </w:pPr>
      <w:r w:rsidRPr="001644C1">
        <w:t xml:space="preserve">Cluster policies are in most cases supported and implemented by specific cluster programmes and cluster initiatives. Cluster initiatives can be then seen as “organized efforts to increase growth and competitiveness of clusters within a region, involving cluster firms, government and/or the research community” (Lindqvist, Ketels &amp; Sölvell, 2003, p. 9). As Ketels (2013) claims, cluster initiatives are more effective in the place where cooperation and trust among regional government, enterprises and academics are good, and where there is also a strong organisation which would run the initiative. Ketels (2013, p. 279) states that “cluster programmes can be launched by different levels of government, clusters and thus cluster initiatives are always regional in nature.“ Christensen, Lämmer-Gamp and Meier zu Köcker (2012) in this context suggest that policy-makers need to have in mind that cluster programmes applied in emerging areas are different from those for established clusters and are also more risky. </w:t>
      </w:r>
    </w:p>
    <w:p w:rsidR="001644C1" w:rsidRPr="001644C1" w:rsidRDefault="001644C1" w:rsidP="001644C1">
      <w:pPr>
        <w:pStyle w:val="NormalDOKBAT"/>
      </w:pPr>
      <w:r w:rsidRPr="001644C1">
        <w:t xml:space="preserve">Support from government/policy-makers is sometimes crucial to help with the development of the appropriate cluster. Wolman and Hincapie (2015, p. 146) contend that policy-makers should: </w:t>
      </w:r>
    </w:p>
    <w:p w:rsidR="001644C1" w:rsidRPr="001644C1" w:rsidRDefault="001644C1" w:rsidP="001644C1">
      <w:pPr>
        <w:pStyle w:val="NormalDOKBAT"/>
      </w:pPr>
      <w:r>
        <w:t xml:space="preserve">- </w:t>
      </w:r>
      <w:r w:rsidRPr="001644C1">
        <w:t>“Focus on clusters for which the region has existing assets, as evidenced by some existing concentration</w:t>
      </w:r>
    </w:p>
    <w:p w:rsidR="001644C1" w:rsidRPr="001644C1" w:rsidRDefault="001644C1" w:rsidP="001644C1">
      <w:pPr>
        <w:pStyle w:val="NormalDOKBAT"/>
      </w:pPr>
      <w:r>
        <w:t xml:space="preserve">- </w:t>
      </w:r>
      <w:r w:rsidRPr="001644C1">
        <w:t>Focus on clusters for which the region has a competitive advantage relative to other regions</w:t>
      </w:r>
    </w:p>
    <w:p w:rsidR="001644C1" w:rsidRPr="001644C1" w:rsidRDefault="001644C1" w:rsidP="001644C1">
      <w:pPr>
        <w:pStyle w:val="NormalDOKBAT"/>
      </w:pPr>
      <w:r>
        <w:t xml:space="preserve">- </w:t>
      </w:r>
      <w:r w:rsidRPr="001644C1">
        <w:t>Focus on clusters that are growing nationally</w:t>
      </w:r>
    </w:p>
    <w:p w:rsidR="001644C1" w:rsidRPr="001644C1" w:rsidRDefault="001644C1" w:rsidP="001644C1">
      <w:pPr>
        <w:pStyle w:val="NormalDOKBAT"/>
      </w:pPr>
      <w:r>
        <w:t xml:space="preserve">- </w:t>
      </w:r>
      <w:r w:rsidRPr="001644C1">
        <w:t>Focus on clusters for which an intervention strategy is possible and for which intervention will make a difference in terms of affecting economic development objectives.</w:t>
      </w:r>
    </w:p>
    <w:p w:rsidR="001644C1" w:rsidRPr="001644C1" w:rsidRDefault="001644C1" w:rsidP="001644C1">
      <w:pPr>
        <w:pStyle w:val="NormalDOKBAT"/>
      </w:pPr>
      <w:r>
        <w:t xml:space="preserve">- </w:t>
      </w:r>
      <w:r w:rsidRPr="001644C1">
        <w:t>Focus on clusters whose impacts or externalities particularly serve public purposes (e.g., employ more entry-level labor or promote energy“</w:t>
      </w:r>
    </w:p>
    <w:p w:rsidR="001644C1" w:rsidRPr="001644C1" w:rsidRDefault="001644C1" w:rsidP="001644C1">
      <w:pPr>
        <w:pStyle w:val="NormalDOKBAT"/>
      </w:pPr>
    </w:p>
    <w:p w:rsidR="001644C1" w:rsidRPr="001644C1" w:rsidRDefault="001644C1" w:rsidP="001644C1">
      <w:pPr>
        <w:pStyle w:val="NormalDOKBAT"/>
      </w:pPr>
      <w:r w:rsidRPr="001644C1">
        <w:t xml:space="preserve">The main reason of applying cluster programmes and initiatives is to improve the competitiveness of clusters which already exist rather than creating completely new clusters (Ketels, 2013). According to Obadić (2013), the most commonly used ministries to </w:t>
      </w:r>
      <w:r w:rsidRPr="001644C1">
        <w:lastRenderedPageBreak/>
        <w:t>implement cluster policy are the Ministry of Industry (16 countries) and the Ministry of Finance/Economy (14 countries). The Ministry of Science and Research (9 countries), but also, other ministries and organizations are very common (11 countries). Obadić (2013) notes that there are differences between economies “in development” and “old EU members”. One of the differences is for example in the position of the ministry of finance/economy. In the first group the ministry of finance/economy plays a key role in the context of developing cluster programmes/initiatives, meanwhile in the group of “old EU members,” other ministries are involved.</w:t>
      </w:r>
    </w:p>
    <w:p w:rsidR="001644C1" w:rsidRPr="001644C1" w:rsidRDefault="001644C1" w:rsidP="001644C1">
      <w:pPr>
        <w:pStyle w:val="NormalDOKBAT"/>
      </w:pPr>
      <w:r w:rsidRPr="001644C1">
        <w:t xml:space="preserve">Cluster policies are implemented in policy documents on both national and regional levels. Barsoumian, </w:t>
      </w:r>
      <w:r w:rsidRPr="001644C1">
        <w:rPr>
          <w:rFonts w:eastAsia="MinionPro-Regular"/>
        </w:rPr>
        <w:t>Severin and van der Spek</w:t>
      </w:r>
      <w:r w:rsidRPr="001644C1">
        <w:t xml:space="preserve"> (2011) identify countries which applied cluster policies on a national level: France, Luxembourg, Latvia, Lithuania, Portugal, Czech Republic, Greece, Poland, Romania, Bulgaria, Finland. They identify regional cluster policy in Belgium, Sweden, Austria. </w:t>
      </w:r>
    </w:p>
    <w:p w:rsidR="00ED4860" w:rsidRDefault="00ED4860" w:rsidP="00ED4860">
      <w:pPr>
        <w:pStyle w:val="NormalDOKBAT"/>
      </w:pPr>
    </w:p>
    <w:p w:rsidR="00C70C87" w:rsidRDefault="00C70C87" w:rsidP="00C70C87">
      <w:pPr>
        <w:pStyle w:val="TitleofsubchapterDOKBAT"/>
      </w:pPr>
      <w:r w:rsidRPr="00C70C87">
        <w:t>Top-down and bottom-up approach</w:t>
      </w:r>
    </w:p>
    <w:p w:rsidR="00C70C87" w:rsidRPr="00C70C87" w:rsidRDefault="00C70C87" w:rsidP="00C70C87">
      <w:pPr>
        <w:pStyle w:val="NormalDOKBAT"/>
      </w:pPr>
      <w:r w:rsidRPr="00C70C87">
        <w:t xml:space="preserve">The guide called “Clusters and clustering policy: a guilde for regional and local policy makers“ prepared by INNO Germany AG (2010, p. 101) suggest that “one of the first decisions of policy makers when facing the selection of clusters to be funded in the framework of a cluster programme is whether to pursue a top-down or bottom-up approach, or a combination of both. Top-down refers to measures to support (potential) clusters initiated by government bodies. In contrast, bottom-up processes are characterised by strong involvement by the private cluster actors.“ The main difference is that in a top-down approach policy-makers define criteria a priori, meanwhile bottom-up approach is about mobilisationof regional or local actors. </w:t>
      </w:r>
    </w:p>
    <w:p w:rsidR="00C70C87" w:rsidRPr="00C70C87" w:rsidRDefault="00C70C87" w:rsidP="00C70C87">
      <w:pPr>
        <w:pStyle w:val="NormalDOKBAT"/>
      </w:pPr>
      <w:r w:rsidRPr="00C70C87">
        <w:t xml:space="preserve">INNO Germany AG (2010) point out that selection of the cluster based on predetermined criteria (e.g. national strategic priorities, statistic characteristics) is labelled as top-down approach. OECD (2007) comment that bottom-up methods are the ones without any predefined criteria - group discussion, open calls. Combination of the bottom-up and the top-down approach is for example using restricted calls for tenders - assumptions are set top-down meanwhile the call is more bottom-up whereas the prerequisites are set top-down. Suitability of the approach is dependend on considered policy level and the strategic objectives of the appropriate policy. </w:t>
      </w:r>
    </w:p>
    <w:p w:rsidR="00C70C87" w:rsidRPr="00C70C87" w:rsidRDefault="00C70C87" w:rsidP="00C70C87">
      <w:pPr>
        <w:pStyle w:val="NormalDOKBAT"/>
      </w:pPr>
      <w:r w:rsidRPr="00C70C87">
        <w:t xml:space="preserve">A. Davis from OECD in the “Clusters and clustering policy: a guilde for regional and local policy makers“ (INNO Germany AG, 2010, p. 101) describes the advantages of the approaches depending on the programme objective: “if it is the national government who wants to strengthen the biomedical industry, then it would use a top-down approach, it would preselect the areas it wants to target – as a national authority it can identify how strengths are located in biomedical research and firms. If you want to build general capacity at local level and you don’t have set objectives, then the bottom-up approach is a good way of identifying whether there is the necessary motivation for a cluster.” </w:t>
      </w:r>
    </w:p>
    <w:p w:rsidR="00C70C87" w:rsidRPr="00C70C87" w:rsidRDefault="00C70C87" w:rsidP="00C70C87">
      <w:pPr>
        <w:pStyle w:val="NormalDOKBAT"/>
      </w:pPr>
    </w:p>
    <w:p w:rsidR="00C70C87" w:rsidRDefault="00C70C87" w:rsidP="00C70C87">
      <w:pPr>
        <w:pStyle w:val="TitleofsubchapterDOKBAT"/>
      </w:pPr>
      <w:r w:rsidRPr="00C70C87">
        <w:t>Types of cluster policy</w:t>
      </w:r>
    </w:p>
    <w:p w:rsidR="00C70C87" w:rsidRPr="00C70C87" w:rsidRDefault="00C70C87" w:rsidP="00C70C87">
      <w:pPr>
        <w:pStyle w:val="NormalDOKBAT"/>
      </w:pPr>
      <w:r w:rsidRPr="00C70C87">
        <w:t>The types of cluster policies and their content are very different among European countries. According to CLOE (2006), there are usually three types of cluster policy:</w:t>
      </w:r>
    </w:p>
    <w:p w:rsidR="00C70C87" w:rsidRPr="00C70C87" w:rsidRDefault="00C70C87" w:rsidP="00C70C87">
      <w:pPr>
        <w:pStyle w:val="NormalDOKBAT"/>
      </w:pPr>
      <w:r>
        <w:lastRenderedPageBreak/>
        <w:t xml:space="preserve">- </w:t>
      </w:r>
      <w:r w:rsidRPr="00C70C87">
        <w:t>The first type deals with the strengthening "triple helix", particularly between industry, research and government agencies, ie. agencies or regional development agencies for research and technology</w:t>
      </w:r>
    </w:p>
    <w:p w:rsidR="00C70C87" w:rsidRPr="00C70C87" w:rsidRDefault="00C70C87" w:rsidP="00C70C87">
      <w:pPr>
        <w:pStyle w:val="NormalDOKBAT"/>
      </w:pPr>
      <w:r>
        <w:t xml:space="preserve">- </w:t>
      </w:r>
      <w:r w:rsidRPr="00C70C87">
        <w:t>The second type focuses more on co-operation in research and development between companies and between companies and research organizations</w:t>
      </w:r>
    </w:p>
    <w:p w:rsidR="00C70C87" w:rsidRPr="00C70C87" w:rsidRDefault="00C70C87" w:rsidP="00C70C87">
      <w:pPr>
        <w:pStyle w:val="NormalDOKBAT"/>
      </w:pPr>
      <w:r>
        <w:t xml:space="preserve">- </w:t>
      </w:r>
      <w:r w:rsidRPr="00C70C87">
        <w:t>The third type aims to promote cooperation between businesses, regardless of whether this cooperation is carried out with research and development institutions, or is carried horizontally or vertically between competitors along the value chain</w:t>
      </w:r>
    </w:p>
    <w:p w:rsidR="00C70C87" w:rsidRPr="00C70C87" w:rsidRDefault="00C70C87" w:rsidP="00C70C87">
      <w:pPr>
        <w:pStyle w:val="NormalDOKBAT"/>
      </w:pPr>
    </w:p>
    <w:p w:rsidR="00C70C87" w:rsidRPr="00C70C87" w:rsidRDefault="00C70C87" w:rsidP="00C70C87">
      <w:pPr>
        <w:pStyle w:val="NormalDOKBAT"/>
      </w:pPr>
      <w:r w:rsidRPr="00C70C87">
        <w:t>Andersson et al. (2004) in "The Cluster Policies Whitebook" go further in breaking down policy into even more categories including: broker policies, demand-side policies, training, promotion of international linkages and broader framework conditions. Broker policies can be described as a policy which is aimed at strengthening the framework for dialogue and cooperation between actors inside the cluster. Demand side policies are focused on applying innovative solutions and on supporting new ideas within clusters. The third type of policy, training policies, may be targeted at upgrading skills and competencies which are essential for effective clustering of SMEs. Type of international linkages should be applied when the country wants to support the interplay between foreign and domestic actors. Finally, framework policies are focused on improving infrastructure and institutional conditions which are necessary for clusters.</w:t>
      </w:r>
    </w:p>
    <w:p w:rsidR="00C70C87" w:rsidRDefault="00C70C87" w:rsidP="00C70C87">
      <w:pPr>
        <w:pStyle w:val="NormalDOKBAT"/>
      </w:pPr>
    </w:p>
    <w:p w:rsidR="00C70C87" w:rsidRPr="00C70C87" w:rsidRDefault="00C70C87" w:rsidP="00C70C87">
      <w:pPr>
        <w:pStyle w:val="TitleofchapterDOKBAT"/>
      </w:pPr>
      <w:r w:rsidRPr="00C70C87">
        <w:t>Cluster policies and initiatives within the service sector in European countries</w:t>
      </w:r>
    </w:p>
    <w:p w:rsidR="00C70C87" w:rsidRPr="00C70C87" w:rsidRDefault="00C70C87" w:rsidP="00C70C87">
      <w:pPr>
        <w:pStyle w:val="NormalDOKBAT"/>
      </w:pPr>
      <w:r w:rsidRPr="00C70C87">
        <w:rPr>
          <w:rFonts w:eastAsia="Calibri"/>
        </w:rPr>
        <w:t xml:space="preserve">The service sector has recently become the most important economic sector in Europe. European Commission (2009) states in their report that almost all employment growth in the period 1995-2007 was identified in the service sector. In 2007, more than 155 million people are engaged in service activities, representing 69.2 % of total employment and generates 71.6 % of gross value added generated by the twenty-seven states. From that point of view, European economy can be described as a service economy. </w:t>
      </w:r>
      <w:r w:rsidRPr="00C70C87">
        <w:t xml:space="preserve">According to Eurostat (2008), the terms service sector or services are generally used to refer to economic activities covered by Sections G to U of NACE revision 2. </w:t>
      </w:r>
    </w:p>
    <w:p w:rsidR="00C70C87" w:rsidRPr="00C70C87" w:rsidRDefault="00C70C87" w:rsidP="00C70C87">
      <w:pPr>
        <w:pStyle w:val="NormalDOKBAT"/>
      </w:pPr>
      <w:r w:rsidRPr="00C70C87">
        <w:t xml:space="preserve">Most of the cluster policies and cluster initiatives within the service sector exist at regional level or even at local level. The paper by European Commission (2009) called “Challenges for EU support to innovation in services – Fostering new markets and jobs through innovation“ mentions that clusters in the service sector are spread worlwide. They can be found in Austria, Belgium, Bulgaria, Switzerland, Cyprus, Spain, Estonia, Finland, France, Ireland, Iceland, Italy, Luxembourg, Malta, the Netherlands, Norway, Portugal, Sweden and the United Kingdom. All of these countries focus on promoting service innovation through cluster initiatives. In France, for example there are three clusters of competitiveness in the service sector, namely Seine Normandie Logistic Competitiveness Cluster, Trade Industry Competitivenesss Cluster and Finance Innovation Competitiveness Cluster. In the United Kingdom were launched cluster initiatives by the Regional Development Agencies. These initiatives aimed to support development in specific service industries, such as software, digital content and creative industries. Germany also started to put more emphasis on promoting the service sector recently. The local government is shifting their support from traditional large clusters specializing in the production of steel and auto production to the </w:t>
      </w:r>
      <w:r w:rsidRPr="00C70C87">
        <w:lastRenderedPageBreak/>
        <w:t>clusters in the knowledge-intensive business services. Especially in Bavaria are very prosperous clusters working in the field of ICT services. Information and communication services in Bavaria accounts for 40% of all software companie sin Germany. For example, clusters IT Speicher, FIWM, and BICC-NET operate here among the ICT services.</w:t>
      </w:r>
    </w:p>
    <w:p w:rsidR="00C70C87" w:rsidRPr="00C70C87" w:rsidRDefault="00C70C87" w:rsidP="00C70C87">
      <w:pPr>
        <w:pStyle w:val="NormalDOKBAT"/>
      </w:pPr>
      <w:r w:rsidRPr="00C70C87">
        <w:t>In the context of supporting clusters within the service sector, there is an interesting paper written by European Service Innovation Centre (2015) called  “</w:t>
      </w:r>
      <w:r w:rsidRPr="00C70C87">
        <w:rPr>
          <w:rFonts w:eastAsiaTheme="majorEastAsia"/>
        </w:rPr>
        <w:t xml:space="preserve">Promoting Service Innovation through Cluster Initiatives.“ The document </w:t>
      </w:r>
      <w:r w:rsidRPr="00C70C87">
        <w:t>gives examples of five cluster initiatives which use the concept of service innovation to promote innovation in either service industries or service elements of other industries. Cluster initiatives mentioned there are focused on service innovation in the following sectors: ICT (software, multimedia, ICT and safety), transport and services, health and wellness, tourism, financial services and logistics.European Service Innovation Centre (2015, p. 2) continues with recommendation for policy-makers within service innovation: “Policy-makers can support the use of service innovation by strengthening the critical framework conditions for service-based clusters such as those for digital-based industries, healthcare industries or experience-based industries. Such framework conditions include the development of a service infrastructure, the expansion of cultural and social capital and improved access to new types of funding, such as crowd funding or microloans.“</w:t>
      </w:r>
    </w:p>
    <w:p w:rsidR="00C70C87" w:rsidRDefault="00C70C87" w:rsidP="00C70C87">
      <w:pPr>
        <w:pStyle w:val="NormalDOKBAT"/>
      </w:pPr>
    </w:p>
    <w:p w:rsidR="002A408F" w:rsidRPr="002A408F" w:rsidRDefault="002A408F" w:rsidP="002A408F">
      <w:pPr>
        <w:pStyle w:val="TitleofsubchapterDOKBAT"/>
      </w:pPr>
      <w:r w:rsidRPr="002A408F">
        <w:t>Good practices of developing service sector through cluster initiatives</w:t>
      </w:r>
    </w:p>
    <w:p w:rsidR="002A408F" w:rsidRPr="002A408F" w:rsidRDefault="002A408F" w:rsidP="002A408F">
      <w:pPr>
        <w:pStyle w:val="NormalDOKBAT"/>
      </w:pPr>
      <w:r w:rsidRPr="002A408F">
        <w:t>The following cases present cluster initiatives on a national and a regional level. These cases were chosen because they have already proven their success. The Service Cluster Denmark was the first European cluster which was awarded by ESCA Cluster Management Excellence Silver Label. On the other hand, the initiatives in the region of North central Sweden made significant improvement to moribound service sector. Denmark and Sweden have also rich history in the context of clustering and cluster policies.</w:t>
      </w:r>
    </w:p>
    <w:p w:rsidR="002A408F" w:rsidRPr="002A408F" w:rsidRDefault="002A408F" w:rsidP="002A408F">
      <w:pPr>
        <w:pStyle w:val="NormalDOKBAT"/>
      </w:pPr>
      <w:r w:rsidRPr="002A408F">
        <w:t>On the pages below are presented good practices of cluster initiatives at national and at regional level which support service sector by different instruments.</w:t>
      </w:r>
    </w:p>
    <w:p w:rsidR="002A408F" w:rsidRDefault="002A408F" w:rsidP="00C70C87">
      <w:pPr>
        <w:pStyle w:val="NormalDOKBAT"/>
      </w:pPr>
    </w:p>
    <w:p w:rsidR="00714D8E" w:rsidRPr="00714D8E" w:rsidRDefault="00714D8E" w:rsidP="00314704">
      <w:pPr>
        <w:pStyle w:val="TitleofsubchapterDOKBAT"/>
      </w:pPr>
      <w:r w:rsidRPr="00714D8E">
        <w:t>National level - Service Cluster Denmark</w:t>
      </w:r>
    </w:p>
    <w:p w:rsidR="00714D8E" w:rsidRPr="00714D8E" w:rsidRDefault="00714D8E" w:rsidP="00714D8E">
      <w:pPr>
        <w:pStyle w:val="NormalDOKBAT"/>
      </w:pPr>
      <w:r w:rsidRPr="00714D8E">
        <w:t>Service Cluster Denmark was founded on December, 2010 under The Innovation Network program. The main idea of the program is to “create platforms for companies and research institutes to exchange knowledg eand enter into collaboration project" (Danish Agency for Science, Technology, and Innovation, 2015).</w:t>
      </w:r>
    </w:p>
    <w:p w:rsidR="00714D8E" w:rsidRPr="00714D8E" w:rsidRDefault="00714D8E" w:rsidP="00714D8E">
      <w:pPr>
        <w:pStyle w:val="NormalDOKBAT"/>
      </w:pPr>
      <w:r w:rsidRPr="00714D8E">
        <w:t>Service Cluster Denmark has 1 100 members and operates in sectors connected with digital retail, B2B manual service, servitization and knowledge intensive services. The cluster is one of 22 national innovation clusters in Denmark financed by the Danish Agency for Science, Technology, and Innovation. (Service Cluster Denmark, 2015)</w:t>
      </w:r>
    </w:p>
    <w:p w:rsidR="00714D8E" w:rsidRPr="00714D8E" w:rsidRDefault="00714D8E" w:rsidP="00714D8E">
      <w:pPr>
        <w:pStyle w:val="NormalDOKBAT"/>
      </w:pPr>
      <w:r w:rsidRPr="00714D8E">
        <w:t>The key challenges, which were identified within the strategy concept of cluster to improve service innovation in Denmark, are following: internationalization, productivity, service strategy and management and qualified employees. Internationalization is about exploring practices from cluster members within the internationalization of services. Productivity stands for creating environment and settings to improve quality of services and reducing costs. Meanwhile the third challenge is about implemeting new strategies and concepts into services. In challenge qualified employees Service Cluster Denmark focuses on identifying the main demands of competences which are aimed to improve services. (Service Cluster Denmark, 2015)</w:t>
      </w:r>
    </w:p>
    <w:p w:rsidR="00714D8E" w:rsidRPr="00714D8E" w:rsidRDefault="00714D8E" w:rsidP="00714D8E">
      <w:pPr>
        <w:pStyle w:val="NormalDOKBAT"/>
      </w:pPr>
      <w:r>
        <w:t xml:space="preserve">The main goal of Service Cluster Denmark is to support innovation and competitiveness among service intensive businesses in Denmark. Cluster contributes to the service innovation by developing new possibilities for cooperation between research and academic institutions and business operating in the field of services. Service Cluster Denmark uses the following tools to foster service innovation: paid, personal membership, </w:t>
      </w:r>
      <w:r w:rsidRPr="00714D8E">
        <w:t>online project brokering, events and presentations, analysis and evaluation. For example online project brokering is a very usefull tool where members of the cluster can post ideas, contribute to others ideas, find partners and search for funding for service-related development projects. (European Service Innovation Centre, 2015)</w:t>
      </w:r>
    </w:p>
    <w:p w:rsidR="00714D8E" w:rsidRDefault="00714D8E" w:rsidP="00714D8E">
      <w:pPr>
        <w:pStyle w:val="NormalDOKBAT"/>
      </w:pPr>
      <w:r>
        <w:t>Other supporting tools, which cluster uses, are described in the “</w:t>
      </w:r>
      <w:r w:rsidRPr="00714D8E">
        <w:rPr>
          <w:rFonts w:eastAsiaTheme="majorEastAsia"/>
        </w:rPr>
        <w:t>Promoting Service Innovation through Cluster Initiatives“ written by</w:t>
      </w:r>
      <w:r w:rsidRPr="00714D8E">
        <w:t xml:space="preserve"> European Service Innovation Centre (2015) or at website of Service Cluster Denmark (http://www.serviceplatform.dk/).</w:t>
      </w:r>
    </w:p>
    <w:p w:rsidR="00D24E60" w:rsidRDefault="00D24E60" w:rsidP="00714D8E">
      <w:pPr>
        <w:pStyle w:val="NormalDOKBAT"/>
      </w:pPr>
    </w:p>
    <w:p w:rsidR="00D24E60" w:rsidRPr="00D24E60" w:rsidRDefault="00D24E60" w:rsidP="00314704">
      <w:pPr>
        <w:pStyle w:val="TitleofsubchapterDOKBAT"/>
      </w:pPr>
      <w:r w:rsidRPr="00D24E60">
        <w:t>Regional level – Northern Central Sweden</w:t>
      </w:r>
    </w:p>
    <w:p w:rsidR="00D24E60" w:rsidRPr="00D24E60" w:rsidRDefault="00D24E60" w:rsidP="00D24E60">
      <w:pPr>
        <w:pStyle w:val="NormalDOKBAT"/>
      </w:pPr>
      <w:r w:rsidRPr="00D24E60">
        <w:t>Another case, this time on a regional level, is from Northern Central Sweden. The NUTS 2 region Norra Mellansverige (Northern Central Sweden),with approximately 800,000 inhabitants, consists of three independent NUTS 3 regions of relatively equal size; Värmland, Dalarna and Gävleborg. Recently, the region paid much more attention to the service sector to increase regional competitiveness and employment in the services. (Regional Innovation Monitor, 2012)</w:t>
      </w:r>
    </w:p>
    <w:p w:rsidR="00D24E60" w:rsidRPr="00D24E60" w:rsidRDefault="00D24E60" w:rsidP="00D24E60">
      <w:pPr>
        <w:pStyle w:val="NormalDOKBAT"/>
      </w:pPr>
      <w:r w:rsidRPr="00D24E60">
        <w:t>According to the Regional Innovation Monitor (2012), three main challenges were identified in the region, such as: “broaden the innovation capacity, increase employment in the service sector and broaden the access to competence.“ One of the instrument which is region using to deal with these challenges, is supporting clusters through cluster initiatives.</w:t>
      </w:r>
    </w:p>
    <w:p w:rsidR="00D24E60" w:rsidRDefault="00D24E60" w:rsidP="00714D8E">
      <w:pPr>
        <w:pStyle w:val="NormalDOKBAT"/>
      </w:pPr>
      <w:r w:rsidRPr="00D24E60">
        <w:t>The dominant position in this region had traditional manufacturing industries. In this context it is no surprise that first cluster initiatives were related to the development of traditional industry sectors, such as pulp and paper, steel and engineering. However, this situation is starting to change with the increasing role of services in economy. During the last years, several cluster initiatives were according to the Regional Innovation Monitor (2012) launched to support business in service based industries. Several initiatives in the region of Northern Central Sweden have a specific focus on the development of the service sector which include knowledge intensive services, creative industries, health care and tourism. In the region not only cluster initiatives but also other ways to support the service sector are applied. For example, support infrastructure for the many areas of service sector is on the rise, as Centre for Services Research at Karlstad University (combination of research institutions), support organisations such as the incubator INOVA, project VIVAN aimed to the health care innovation and the office for supporting innovation Four Leaf Clover (Regional Innovation Monitor, 2012). Another project launched by Borlänge municipality of Borlänge called BoomTown was made to stimulate entrepreneurship in the particular sector – music industry (Regional Innovation Monitor, 2012). Other successful example is Destination Dalarna, a cluster initiative, which is “developing an innovative growth environment for companies in the tourism sectoron Swedish and international markets. The initiative runs demand-driven joint development projects for Dalarna, which contributes towards developing the tourist industry and thusthe competitive strength of the region“ (State of the Art Country Report Sweden, 2011, p. 12).</w:t>
      </w:r>
    </w:p>
    <w:p w:rsidR="00E905D0" w:rsidRPr="00714D8E" w:rsidRDefault="00E905D0" w:rsidP="00714D8E">
      <w:pPr>
        <w:pStyle w:val="TitleofchapterDOKBAT"/>
      </w:pPr>
      <w:r w:rsidRPr="00E905D0">
        <w:t>Cluster policy in the Czech Republic</w:t>
      </w:r>
    </w:p>
    <w:p w:rsidR="00E905D0" w:rsidRPr="00E905D0" w:rsidRDefault="00E905D0" w:rsidP="00E905D0">
      <w:pPr>
        <w:pStyle w:val="NormalDOKBAT"/>
      </w:pPr>
      <w:r w:rsidRPr="00E905D0">
        <w:t>The key strategic document within the cluster policy in the Czech Republic is the “Economic Growth Strategy of the Czech Republic” approved by the Czech government on November 19, 2005. This document focuses on five areas which are crucial for the competitiveness in the Czech Republic. The issue of clusters is included in the first priority, where the emphasis is on increasing the intensity of business support, and in the third priority called infrastructure, which highlights importance of cooperation between entrepreneurs, universities and regional government. (Pavelková et al., 2009)</w:t>
      </w:r>
    </w:p>
    <w:p w:rsidR="00E905D0" w:rsidRPr="00E905D0" w:rsidRDefault="00E905D0" w:rsidP="00E905D0">
      <w:pPr>
        <w:pStyle w:val="NormalDOKBAT"/>
      </w:pPr>
      <w:r w:rsidRPr="00E905D0">
        <w:t>Cluster policy on a national level is implemented by National cluster strategy 2005-2008, which is a crucial document about clusters, although it has not been updated since the end of the year 2008. Its main aim is to support clusters in the manufacturing industries. The theme of clusters within the regional level is implemented among regions only marginally. (Pavelková et al., 2009)</w:t>
      </w:r>
    </w:p>
    <w:p w:rsidR="00E905D0" w:rsidRPr="00E905D0" w:rsidRDefault="00E905D0" w:rsidP="00E905D0">
      <w:pPr>
        <w:pStyle w:val="NormalDOKBAT"/>
      </w:pPr>
      <w:r w:rsidRPr="00E905D0">
        <w:t>Speaking about financial support for clusters, the most important within the Czech Republic are EU structural funds. The first opportunity to get financial resources was available through Operational Programme Industry and Enterprise in the period of 2004-2006, which included programme called Clusters aimed to promote the cluster initiative in two phases: in the identification of clusters and in the establishment of clusters and their development (Pavelková et al., 2009). In the followed programme period it was the Operational Programme Enterprise and Innovation 2007 -2013, which dealt with clusters within Priority Axis 5 "Environment for Enterprise and Innovation" in the programme cooperation-clusters (Pavelková et al., 2009). Nowadays, the applicants can get financial support from Operational Programme Enterpriseand Innovation for Competitiveness 2014 – 2020, which supports activities as collective research, shared infrastructure, internationalization of the clusters and development of cluster organisation (Ministry of Industry and Trade, 2015).</w:t>
      </w:r>
    </w:p>
    <w:p w:rsidR="00E905D0" w:rsidRPr="00E905D0" w:rsidRDefault="00E905D0" w:rsidP="00E905D0">
      <w:pPr>
        <w:pStyle w:val="NormalDOKBAT"/>
      </w:pPr>
      <w:r w:rsidRPr="00E905D0">
        <w:t>Main actors involved in developing clusters within the Czech Republic are according to Břusková (2014) following:</w:t>
      </w:r>
    </w:p>
    <w:p w:rsidR="00E905D0" w:rsidRPr="00E905D0" w:rsidRDefault="00E905D0" w:rsidP="00E905D0">
      <w:pPr>
        <w:pStyle w:val="NormalDOKBAT"/>
      </w:pPr>
      <w:r>
        <w:t xml:space="preserve">- </w:t>
      </w:r>
      <w:r w:rsidRPr="00E905D0">
        <w:t xml:space="preserve">Ministry of Industry and Trade – the agenda of his work is integration of cluster support in the OPs of the EU Structural Funds; ministry is also responsible for setting-up strategic priorities for the cluster policy (cooperation, R&amp;D and innovation, internationalisation) </w:t>
      </w:r>
    </w:p>
    <w:p w:rsidR="00E905D0" w:rsidRPr="00E905D0" w:rsidRDefault="00E905D0" w:rsidP="00E905D0">
      <w:pPr>
        <w:pStyle w:val="NormalDOKBAT"/>
      </w:pPr>
      <w:r>
        <w:t xml:space="preserve">- </w:t>
      </w:r>
      <w:r w:rsidRPr="00E905D0">
        <w:t xml:space="preserve">CzechInvest - state agency which works as a managing body of the programmes supporting cluster organisations; setting-up rules for cluster organisations funding eligibility </w:t>
      </w:r>
    </w:p>
    <w:p w:rsidR="00E905D0" w:rsidRPr="00E905D0" w:rsidRDefault="00E905D0" w:rsidP="00E905D0">
      <w:pPr>
        <w:pStyle w:val="NormalDOKBAT"/>
      </w:pPr>
      <w:r>
        <w:t xml:space="preserve">- </w:t>
      </w:r>
      <w:r w:rsidRPr="00E905D0">
        <w:t>National Cluster Association – advocacy of the cluster concept and its sustainability within the Czech development strategies, cross-cluster cooperation and internationalisation promotion</w:t>
      </w:r>
    </w:p>
    <w:p w:rsidR="00E905D0" w:rsidRPr="00E905D0" w:rsidRDefault="00E905D0" w:rsidP="00E905D0">
      <w:pPr>
        <w:pStyle w:val="NormalDOKBAT"/>
      </w:pPr>
      <w:r>
        <w:t xml:space="preserve">- </w:t>
      </w:r>
      <w:r w:rsidRPr="00E905D0">
        <w:t xml:space="preserve">Faculty of Management and Economics, Tomas Bata University in Zlin – the centre of cluster studies and research; the Faculty is also author of the certified methodologies for cluster policies </w:t>
      </w:r>
    </w:p>
    <w:p w:rsidR="00E905D0" w:rsidRPr="00E905D0" w:rsidRDefault="00E905D0" w:rsidP="00E905D0">
      <w:pPr>
        <w:pStyle w:val="NormalDOKBAT"/>
      </w:pPr>
    </w:p>
    <w:p w:rsidR="00E905D0" w:rsidRPr="00E905D0" w:rsidRDefault="00E905D0" w:rsidP="00E905D0">
      <w:pPr>
        <w:pStyle w:val="NormalDOKBAT"/>
      </w:pPr>
      <w:r w:rsidRPr="00E905D0">
        <w:t>In case of developing cluster concept, the Czech Republic also as other countries struggles with specific problems and barriers. Some of them were identified by Pavelková et al. (2013b) in the “Certified methodology for the Regional Cluster Policy“, namely minimal knowledge and general low awareness of cluster concept. Based on interviews with representatives and regional government of the regions, it was found almost no awareness of the clusters operating in their regions, little or no communication with managers of clusters and total ignorance of the needs of the clusters (Pavelková et al., 2013b). Pavelková et al. (2013b) also point out new possibilities for influencing the strategic development of the regional government. Pavelková et al. (2013b) propose to create a new infrastructure of regional knowledge centers for cluster development ("cluster agencies"), which will carry out activities such as mapping and evaluation of clusters, facilitation of cluster initiatives incubation clusters and their governance, including subsequent monitoring and evaluation of performance of clusters and their impact on regional development.</w:t>
      </w:r>
    </w:p>
    <w:p w:rsidR="002A408F" w:rsidRDefault="002A408F" w:rsidP="00C70C87">
      <w:pPr>
        <w:pStyle w:val="NormalDOKBAT"/>
      </w:pPr>
    </w:p>
    <w:p w:rsidR="00E905D0" w:rsidRPr="00E905D0" w:rsidRDefault="00E905D0" w:rsidP="00E905D0">
      <w:pPr>
        <w:pStyle w:val="TitleofsubchapterDOKBAT"/>
      </w:pPr>
      <w:r w:rsidRPr="00E905D0">
        <w:t>What we could learn from practices abroad? Recommendation for the Czech Republic</w:t>
      </w:r>
    </w:p>
    <w:p w:rsidR="00057A69" w:rsidRPr="00057A69" w:rsidRDefault="00057A69" w:rsidP="00057A69">
      <w:pPr>
        <w:pStyle w:val="NormalDOKBAT"/>
      </w:pPr>
      <w:r w:rsidRPr="00057A69">
        <w:t>As presented in the chapter three, Denmark and Sweden made specific programmes to support small and medium sized enterprises in the service sector. These actions led to the succesfull development of specific service industries. In the context of cluster policy within the service sector there is no such thing in the Czech Republic. However, the majority of EU member states created cluster programmes and initiatives focused on supporting clusters in the service sector with the strong emphasis on service innovation. In this context, Rubalcaba (2015) suggests that each country adopts a particular strategy which is connected to past experiences in innovation policies, to the national innovation systems and also to the sectoral service capabilities. Rubalcaba (2015) continues with verdict that policy makers are in many regions not aware of the nature and specifics of service innovation. The main problem is a lack of understanding of what services stand for and their impact for national/regional economic growth. Service-innovation often does not have cover by policy documents and service-innovation culture in policy making is missing. It is no suprise then that many countries tend to traditional manufacturing programs instead of service oriented one which is also the case of the Czech Republic.</w:t>
      </w:r>
    </w:p>
    <w:p w:rsidR="00057A69" w:rsidRPr="00057A69" w:rsidRDefault="00057A69" w:rsidP="00057A69">
      <w:pPr>
        <w:pStyle w:val="NormalDOKBAT"/>
      </w:pPr>
      <w:r w:rsidRPr="00057A69">
        <w:t>Although, it should be noted that service sector in the Czech Republic is undeveloped comparing to other European countries (Ministry of Education, Youth and Sports, 2014). The main driving sector of the Czech economy is manufacturing industry, meanwhile for example knowledge-intensive services (KIS) have lower significance compared to European countries (employment in KIS generates average 40% within EU,  in the Czech Republic only 32%). One of the positive examples are IT and software services which are starting to have increasing importance and position in the Czech economy. According to the Ministry of Education, Youth and Sports (2014), the Czech Republic has competitive advantage within the service sector in transportation and logistics and tourism which corresponds to the geographical position of the Czech Republic. The Ministry of Education, Youth and Sports (2014) in the "National Research and Innovation strategy for smart specialization in the Czech Republic" also identified sectors (among the services) which have growth potencial, namely IT services and software and healthcare. However, this does not mean that the Czech Republic should only look to support these services, because other areas of services will soon or later rise as in other European countries. Considering these facts, Czech national government/ministries and region policy-makers should start think about giving support to the service sectors in general. Having in mind that European economies are becoming service-oriented and methods and programmes which were applied in EU countries, the Czech Republic shouldaim in future to:</w:t>
      </w:r>
    </w:p>
    <w:p w:rsidR="00057A69" w:rsidRPr="00057A69" w:rsidRDefault="00057A69" w:rsidP="00057A69">
      <w:pPr>
        <w:pStyle w:val="NormalDOKBAT"/>
      </w:pPr>
      <w:r>
        <w:t xml:space="preserve">- </w:t>
      </w:r>
      <w:r w:rsidRPr="00057A69">
        <w:t>Create Innovation platform to support cooperation between service enterprises, research institutuons, academic sphere and regional/national government</w:t>
      </w:r>
    </w:p>
    <w:p w:rsidR="00057A69" w:rsidRPr="00057A69" w:rsidRDefault="00057A69" w:rsidP="00057A69">
      <w:pPr>
        <w:pStyle w:val="NormalDOKBAT"/>
      </w:pPr>
      <w:r>
        <w:t xml:space="preserve">- </w:t>
      </w:r>
      <w:r w:rsidRPr="00057A69">
        <w:t xml:space="preserve">Create dedicated centers and clusters which would support service innovation </w:t>
      </w:r>
    </w:p>
    <w:p w:rsidR="00057A69" w:rsidRPr="00057A69" w:rsidRDefault="00057A69" w:rsidP="00057A69">
      <w:pPr>
        <w:pStyle w:val="NormalDOKBAT"/>
      </w:pPr>
      <w:r>
        <w:t xml:space="preserve">- </w:t>
      </w:r>
      <w:r w:rsidRPr="00057A69">
        <w:t>Develop cluster and network type of policies that intentionally include services</w:t>
      </w:r>
    </w:p>
    <w:p w:rsidR="00057A69" w:rsidRPr="00057A69" w:rsidRDefault="00057A69" w:rsidP="00057A69">
      <w:pPr>
        <w:pStyle w:val="NormalDOKBAT"/>
      </w:pPr>
      <w:r>
        <w:t xml:space="preserve">- </w:t>
      </w:r>
      <w:r w:rsidRPr="00057A69">
        <w:t>Find a ways to motivate potential cluster members within the service sector to cooperate</w:t>
      </w:r>
    </w:p>
    <w:p w:rsidR="00057A69" w:rsidRPr="00057A69" w:rsidRDefault="00057A69" w:rsidP="00057A69">
      <w:pPr>
        <w:pStyle w:val="NormalDOKBAT"/>
      </w:pPr>
      <w:r>
        <w:t xml:space="preserve">- </w:t>
      </w:r>
      <w:r w:rsidRPr="00057A69">
        <w:t>Implement goal as service innovation into the cluster policy at national level</w:t>
      </w:r>
    </w:p>
    <w:p w:rsidR="00057A69" w:rsidRPr="00057A69" w:rsidRDefault="00057A69" w:rsidP="00057A69">
      <w:pPr>
        <w:pStyle w:val="NormalDOKBAT"/>
      </w:pPr>
      <w:r w:rsidRPr="00057A69">
        <w:t>In the context of regional cluster policy, it is crucial to first identify and map clusters within the service sector among regions in the Czech Republic. Identification and mapping of these clusters could be managed by cluster agencies which would be created as a new infrastructure of regional knowledge centers for cluster development (Pavelková et al., 2013b). This agenda could be also secured by already established regional councils for innovation and competitivness. These institutions work in all 14 regions within the Czech Republic and their main goal is to implement RIS3 - Regional Innovation Strategy (Ministry of Education, Youth and Sports, 2014).</w:t>
      </w:r>
    </w:p>
    <w:p w:rsidR="00E905D0" w:rsidRDefault="00E905D0" w:rsidP="00C70C87">
      <w:pPr>
        <w:pStyle w:val="NormalDOKBAT"/>
      </w:pPr>
    </w:p>
    <w:p w:rsidR="00F61C77" w:rsidRDefault="00F61C77" w:rsidP="00C70C87">
      <w:pPr>
        <w:pStyle w:val="TitleofchapterDOKBAT"/>
      </w:pPr>
      <w:r w:rsidRPr="00F61C77">
        <w:t>Conclusion</w:t>
      </w:r>
    </w:p>
    <w:p w:rsidR="00F61C77" w:rsidRPr="00F61C77" w:rsidRDefault="00F61C77" w:rsidP="00F61C77">
      <w:pPr>
        <w:pStyle w:val="NormalDOKBAT"/>
      </w:pPr>
      <w:r w:rsidRPr="00F61C77">
        <w:t xml:space="preserve">Based on the literature review and collected information, the first step regarding the Czech cluster policy within the service sector should be connected with giving more attention to that sector. Although, as noted, the dominant sector in the Czech economy is still manufacturing industry, the service sector is on the rise among all European countries. The service sectors which have the biggest growth potential within the Czech economy consists of IT and software services and healthcare. </w:t>
      </w:r>
    </w:p>
    <w:p w:rsidR="00F61C77" w:rsidRPr="00F61C77" w:rsidRDefault="00F61C77" w:rsidP="00F61C77">
      <w:pPr>
        <w:pStyle w:val="NormalDOKBAT"/>
      </w:pPr>
      <w:r w:rsidRPr="00F61C77">
        <w:t>Successful mentioned examples in this paper of cluster policies and initiatives cannot be just copied. Every country has different and unique history, cultural characteristics, specialisiation in industries and other national and regional specifics. However, presented cases should work as an inspiration how to support and develop service sector more effectively. At a national level, it is recommended to implement support for services and service innovation into cluster policy documents and other strategic documents. In the regional context within the service sector, the connection with the regional councils of innovation seems as the right way to go. These institutions, which are aimed for improving innovation and competitiveness, could work on a agenda of identification and mapping clusters in the service sector within the regions of the Czech Republic. After identifyng clusters with a competitive advantage in services among regions, the next step should be connected with mobilisation and involving regional businesses into the process which stands for bottom-up approach. This approach is about mobilisation of regional actors including the private sector with the academic communities and it builds on the inner strengths of each region and its entrepreneurial and competitive advantages. The national and regional policy makers also need to have in mind that if the preconditions for clustering in a country or in a region are absent, they should not create a cluster from scratch and rather focus their attention into different areas.</w:t>
      </w:r>
    </w:p>
    <w:p w:rsidR="00F61C77" w:rsidRDefault="00F61C77" w:rsidP="00C70C87">
      <w:pPr>
        <w:pStyle w:val="NormalDOKBAT"/>
      </w:pPr>
    </w:p>
    <w:p w:rsidR="004859B4" w:rsidRPr="004859B4" w:rsidRDefault="004859B4" w:rsidP="004859B4"/>
    <w:p w:rsidR="004859B4" w:rsidRPr="004859B4" w:rsidRDefault="004859B4" w:rsidP="004859B4">
      <w:pPr>
        <w:pStyle w:val="NormalDOKBAT"/>
      </w:pPr>
      <w:r w:rsidRPr="004859B4">
        <w:t xml:space="preserve">Acknowledgments:                                                                                                                      The authors are thankful to the </w:t>
      </w:r>
      <w:r w:rsidR="003D30EA" w:rsidRPr="003D30EA">
        <w:t>Internal Grant Agency of FaME TBU</w:t>
      </w:r>
      <w:r w:rsidR="003D30EA">
        <w:t xml:space="preserve"> project called </w:t>
      </w:r>
      <w:r w:rsidRPr="004859B4">
        <w:t>"</w:t>
      </w:r>
      <w:r w:rsidR="003D30EA" w:rsidRPr="003D30EA">
        <w:t xml:space="preserve"> The concept of cluster policy impact on the emergence and viability of cluster organizations</w:t>
      </w:r>
      <w:r w:rsidRPr="004859B4">
        <w:t>", which provided financial support for this research.</w:t>
      </w:r>
    </w:p>
    <w:p w:rsidR="004859B4" w:rsidRDefault="004859B4" w:rsidP="00C70C87">
      <w:pPr>
        <w:pStyle w:val="NormalDOKBAT"/>
      </w:pPr>
    </w:p>
    <w:p w:rsidR="004859B4" w:rsidRDefault="004859B4" w:rsidP="00C70C87">
      <w:pPr>
        <w:pStyle w:val="NormalDOKBAT"/>
      </w:pPr>
    </w:p>
    <w:p w:rsidR="004859B4" w:rsidRPr="00C70C87" w:rsidRDefault="004859B4" w:rsidP="00C70C87">
      <w:pPr>
        <w:pStyle w:val="NormalDOKBAT"/>
      </w:pPr>
    </w:p>
    <w:p w:rsidR="005209CF" w:rsidRPr="002D21C8" w:rsidRDefault="00065F43">
      <w:pPr>
        <w:spacing w:before="240"/>
        <w:rPr>
          <w:lang w:val="en-GB"/>
        </w:rPr>
      </w:pPr>
      <w:r w:rsidRPr="002D21C8">
        <w:rPr>
          <w:rFonts w:ascii="Times New Roman" w:eastAsia="Times New Roman" w:hAnsi="Times New Roman" w:cs="Times New Roman"/>
          <w:b/>
          <w:sz w:val="24"/>
          <w:lang w:val="en-GB"/>
        </w:rPr>
        <w:t xml:space="preserve">References  </w:t>
      </w:r>
    </w:p>
    <w:p w:rsidR="007250AE" w:rsidRPr="007250AE" w:rsidRDefault="007250AE" w:rsidP="007250AE">
      <w:pPr>
        <w:pStyle w:val="NormalDOKBAT"/>
      </w:pPr>
      <w:r w:rsidRPr="007250AE">
        <w:t>Andersson, T., Schwaag Serger, S., Sörvik, J., Wise Hansson, E. 2004. The Cluster Policies Whitebook, August 2004, International Organisation for Knowledge Economy and Enterprise Development</w:t>
      </w:r>
      <w:r w:rsidR="00771307">
        <w:t xml:space="preserve"> (IKED): Malmö, Sweden</w:t>
      </w:r>
      <w:r w:rsidRPr="007250AE">
        <w:t>.</w:t>
      </w:r>
    </w:p>
    <w:p w:rsidR="007250AE" w:rsidRPr="007250AE" w:rsidRDefault="007250AE" w:rsidP="007250AE">
      <w:pPr>
        <w:pStyle w:val="NormalDOKBAT"/>
      </w:pPr>
      <w:r w:rsidRPr="007250AE">
        <w:rPr>
          <w:rFonts w:eastAsia="MinionPro-Regular"/>
        </w:rPr>
        <w:t>Barsoumian, S., Severin, A., van der Spek, T. 2011. Eco-innovation and national cluster policies in Europe: a qualitative review. Brussels: Greenovate! Europe EEIG. 95 p.</w:t>
      </w:r>
    </w:p>
    <w:p w:rsidR="007250AE" w:rsidRPr="007250AE" w:rsidRDefault="007250AE" w:rsidP="007250AE">
      <w:pPr>
        <w:pStyle w:val="NormalDOKBAT"/>
      </w:pPr>
      <w:r w:rsidRPr="007250AE">
        <w:t>Brakman, S., &amp; Van Marrewijk, C. 2013. Reflections on cluster policies. Cambridge Journal of Regions, Economy and Society, 6(2), 217-231. doi:10.1093/cjres/rst001</w:t>
      </w:r>
    </w:p>
    <w:p w:rsidR="007250AE" w:rsidRPr="007250AE" w:rsidRDefault="007250AE" w:rsidP="007250AE">
      <w:pPr>
        <w:pStyle w:val="NormalDOKBAT"/>
      </w:pPr>
      <w:r w:rsidRPr="007250AE">
        <w:t>BŘUSKOVÁ, P. 2014. Modern Cluster Policy Experience of the Czech Republic in Conference on cluster policy in Russia: Samara.</w:t>
      </w:r>
    </w:p>
    <w:p w:rsidR="007250AE" w:rsidRPr="007250AE" w:rsidRDefault="007250AE" w:rsidP="007250AE">
      <w:pPr>
        <w:pStyle w:val="NormalDOKBAT"/>
      </w:pPr>
      <w:r w:rsidRPr="007250AE">
        <w:t>CLOE. 2006. CLOE - Clusters Linked over Europe: Cluster Management Guide – Guidelines for the Development and Management of Cluster Initiatives. EU INTERREG IIIc Project CLOE – Clusters Linked over Europe. Retrieved from:</w:t>
      </w:r>
      <w:hyperlink r:id="rId8" w:history="1">
        <w:r w:rsidRPr="007250AE">
          <w:rPr>
            <w:rStyle w:val="Hypertextovodkaz"/>
          </w:rPr>
          <w:t>http://www.rismsk.cz/soubory_texty/34_1.pdf</w:t>
        </w:r>
      </w:hyperlink>
    </w:p>
    <w:p w:rsidR="007250AE" w:rsidRPr="007250AE" w:rsidRDefault="007250AE" w:rsidP="007250AE">
      <w:pPr>
        <w:pStyle w:val="NormalDOKBAT"/>
      </w:pPr>
      <w:r w:rsidRPr="007250AE">
        <w:t>Cooke, P. 2001. Regional innovation systems, clusters, and the knowledge economy, Industrial and Corporate Change, 10(4), 945–974. http://dx.doi.org/10.1093/icc/10.4.945</w:t>
      </w:r>
    </w:p>
    <w:p w:rsidR="007250AE" w:rsidRPr="007250AE" w:rsidRDefault="007250AE" w:rsidP="007250AE">
      <w:pPr>
        <w:pStyle w:val="NormalDOKBAT"/>
      </w:pPr>
      <w:r w:rsidRPr="007250AE">
        <w:t>DANISH AGENCY FOR SCIENCE, TECHNOLOGY, AND INNOVATION. 2015. The Danish Cluster Policy. Retrieved from: http://www.fbo-corridor.eu/files/pdf/09_2015%2005%2005%20DASTI_Morten%20Solgaard%20Thomsen_ok.pdf</w:t>
      </w:r>
    </w:p>
    <w:p w:rsidR="007250AE" w:rsidRPr="007250AE" w:rsidRDefault="007250AE" w:rsidP="007250AE">
      <w:pPr>
        <w:pStyle w:val="NormalDOKBAT"/>
      </w:pPr>
      <w:r w:rsidRPr="007250AE">
        <w:t>Dohse, D.2007. Cluster-based technology policy - the german experience. Industry and Innovation, 14(1), 69-94. doi:10.1080/13662710601130848</w:t>
      </w:r>
    </w:p>
    <w:p w:rsidR="007250AE" w:rsidRPr="007250AE" w:rsidRDefault="007250AE" w:rsidP="007250AE">
      <w:pPr>
        <w:pStyle w:val="NormalDOKBAT"/>
      </w:pPr>
      <w:r w:rsidRPr="007250AE">
        <w:t xml:space="preserve">European Commission. 2009. Challenges for EU support to innovation in services – Fostering new markets and jobs through innovation. Luxembourg: European Communities. Retrieved from: </w:t>
      </w:r>
      <w:hyperlink r:id="rId9" w:history="1">
        <w:r w:rsidRPr="007250AE">
          <w:rPr>
            <w:rStyle w:val="Hypertextovodkaz"/>
          </w:rPr>
          <w:t>http://ec.europa.eu/enterprise/policies/innovation/files/swd_services_en.pdf</w:t>
        </w:r>
      </w:hyperlink>
    </w:p>
    <w:p w:rsidR="007250AE" w:rsidRPr="007250AE" w:rsidRDefault="007250AE" w:rsidP="007250AE">
      <w:pPr>
        <w:pStyle w:val="NormalDOKBAT"/>
      </w:pPr>
      <w:r w:rsidRPr="007250AE">
        <w:t xml:space="preserve">EUROPEAN SERVICE INNOVATION CENTRE. 2015. Promoting Service Innovation through Cluster Initiatives. ESIC website. Morten Wied, DAMVAD. Retrieved from: </w:t>
      </w:r>
      <w:hyperlink r:id="rId10" w:history="1">
        <w:r w:rsidRPr="007250AE">
          <w:rPr>
            <w:rStyle w:val="Hypertextovodkaz"/>
          </w:rPr>
          <w:t>http://ec.europa.eu/growth/tools-databases/esic/</w:t>
        </w:r>
      </w:hyperlink>
    </w:p>
    <w:p w:rsidR="007250AE" w:rsidRPr="007250AE" w:rsidRDefault="007250AE" w:rsidP="007250AE">
      <w:pPr>
        <w:pStyle w:val="NormalDOKBAT"/>
      </w:pPr>
      <w:r w:rsidRPr="007250AE">
        <w:t>EUROPE INNOVA and PRO INNO EUROPE. 2008. THE CONCEPT OF CLUSTERS AND CLUSTER POLICIES AND THEIR ROLE FOR COMPETITIVENESS AND INNOVATION: MAIN STATISTICAL RESULTS AND LESSONS LEARNED. Luxembourg: Office for Official Publications of the European Communities. ISBN 978-92-79-09838-3. Retrived from: http://www.clusterplattform.at/fileadmin/user_upload/clusterbibliothek/445_Concept_of_Clusters_and_Cluster_Policies.pdf</w:t>
      </w:r>
    </w:p>
    <w:p w:rsidR="007250AE" w:rsidRPr="007250AE" w:rsidRDefault="007250AE" w:rsidP="007250AE">
      <w:pPr>
        <w:pStyle w:val="NormalDOKBAT"/>
      </w:pPr>
      <w:r w:rsidRPr="007250AE">
        <w:t xml:space="preserve">Eurostat. 2008. Nace Rev. 2: Statistical classification of economic activities in the European Community. Luxembourg: European Communities. Retrieved from: </w:t>
      </w:r>
    </w:p>
    <w:p w:rsidR="007250AE" w:rsidRPr="007250AE" w:rsidRDefault="007250AE" w:rsidP="007250AE">
      <w:pPr>
        <w:pStyle w:val="NormalDOKBAT"/>
      </w:pPr>
      <w:r w:rsidRPr="007250AE">
        <w:t>http://ec.europa.eu/eurostat/documents/3859598/5902521/KS-RA-07-015-EN.PDF/dd5443f5-b886-40e4-920d-9df03590ff91?version=1.0</w:t>
      </w:r>
    </w:p>
    <w:p w:rsidR="007250AE" w:rsidRPr="007250AE" w:rsidRDefault="007250AE" w:rsidP="007250AE">
      <w:pPr>
        <w:pStyle w:val="NormalDOKBAT"/>
      </w:pPr>
      <w:r w:rsidRPr="007250AE">
        <w:t>Gafurov, I. R., Platonova, O. U., &amp; Pratchenko, O. V. 2014. New state economic policy - cluster policy cluster policy as the factor of innovative development of europe. Mediterranean Journal of Social Sciences, 5(12), 107-111. doi:10.5901/mjss.2014.v5n12p107</w:t>
      </w:r>
    </w:p>
    <w:p w:rsidR="007250AE" w:rsidRPr="007250AE" w:rsidRDefault="007250AE" w:rsidP="007250AE">
      <w:pPr>
        <w:pStyle w:val="NormalDOKBAT"/>
      </w:pPr>
      <w:r w:rsidRPr="007250AE">
        <w:t xml:space="preserve">Hospers, G., &amp; Beugelsdijk, S. 2002. Regional cluster policies: Learning by comparing? Kyklos, 55(3), 381-402. Retrieved from </w:t>
      </w:r>
      <w:hyperlink r:id="rId11" w:tgtFrame="_blank" w:history="1">
        <w:r w:rsidRPr="007250AE">
          <w:rPr>
            <w:rStyle w:val="Hypertextovodkaz"/>
          </w:rPr>
          <w:t>www.scopus.com</w:t>
        </w:r>
      </w:hyperlink>
    </w:p>
    <w:p w:rsidR="007250AE" w:rsidRPr="007250AE" w:rsidRDefault="007250AE" w:rsidP="007250AE">
      <w:pPr>
        <w:pStyle w:val="NormalDOKBAT"/>
      </w:pPr>
      <w:r w:rsidRPr="007250AE">
        <w:t>Christensen, T. A., Lämmer-Gamp, T., Meier zu Köcker, G. 2012. Perfect Cluster Policy andCluster Program. Copenhagen/Berlin: Danish Ministry of Science, Technology and Innovation/Competence Networks.</w:t>
      </w:r>
    </w:p>
    <w:p w:rsidR="007250AE" w:rsidRPr="007250AE" w:rsidRDefault="007250AE" w:rsidP="007250AE">
      <w:pPr>
        <w:pStyle w:val="NormalDOKBAT"/>
      </w:pPr>
      <w:r w:rsidRPr="007250AE">
        <w:t>INNO GERMANY AG. 2010. Clusters and clustering policy: a guilde for regional and local policy makers [online]. European Union. Belgium. ISBN 978-92-895-0506-2. Retrieved from: http://cor.europa.eu/en/Archived/Documents/59e772fa-4526-45c1-b679-1da3bae37f72.pdf</w:t>
      </w:r>
    </w:p>
    <w:p w:rsidR="007250AE" w:rsidRPr="007250AE" w:rsidRDefault="007250AE" w:rsidP="007250AE">
      <w:pPr>
        <w:pStyle w:val="NormalDOKBAT"/>
      </w:pPr>
      <w:r w:rsidRPr="007250AE">
        <w:t>Ketels, C. 2013. Recent research on competitiveness and clusters: What are the implications for regional policy? Cambridge Journal of Regions, Economy and Society, 6(2), 269-284. doi:10.1093/cjres/rst008</w:t>
      </w:r>
    </w:p>
    <w:p w:rsidR="007250AE" w:rsidRPr="007250AE" w:rsidRDefault="007250AE" w:rsidP="007250AE">
      <w:pPr>
        <w:pStyle w:val="NormalDOKBAT"/>
      </w:pPr>
      <w:r w:rsidRPr="007250AE">
        <w:t xml:space="preserve">Knorringa, P., Meyer-Stamer, J. 1998. New dimensions in local enterprise co-operation and development: from clusters to industrial districts, ATAS Bulletin XI. </w:t>
      </w:r>
    </w:p>
    <w:p w:rsidR="007250AE" w:rsidRPr="007250AE" w:rsidRDefault="007250AE" w:rsidP="007250AE">
      <w:pPr>
        <w:pStyle w:val="NormalDOKBAT"/>
      </w:pPr>
      <w:r w:rsidRPr="007250AE">
        <w:t>Lindqvist, G., Ketels, C., Sölvell, Ö.2003. The Cluster Initiative Greenbook. Stockholm: Ivory Tower.</w:t>
      </w:r>
    </w:p>
    <w:p w:rsidR="007250AE" w:rsidRPr="007250AE" w:rsidRDefault="007250AE" w:rsidP="007250AE">
      <w:pPr>
        <w:pStyle w:val="NormalDOKBAT"/>
      </w:pPr>
      <w:r w:rsidRPr="007250AE">
        <w:t>Martin, R., &amp; Sunley, P. 2003. Deconstructing clusters: Chaotic concept or policy panacea? Journal of Economic Geography, 3, 5-35.</w:t>
      </w:r>
    </w:p>
    <w:p w:rsidR="007250AE" w:rsidRPr="007250AE" w:rsidRDefault="007250AE" w:rsidP="007250AE">
      <w:pPr>
        <w:pStyle w:val="NormalDOKBAT"/>
      </w:pPr>
      <w:r w:rsidRPr="007250AE">
        <w:t>MINISTRY OF EDUCATION, YOUTH AND SPORTS. 2014. National Research and Innovation strategy for smart specialization in the Czech Republic (National RIS3 strategy) [online]. Czech republic. Retrieved from: http://www.msmt.cz/strukturalni-fondy/ris3-strategie-cr</w:t>
      </w:r>
    </w:p>
    <w:p w:rsidR="007250AE" w:rsidRPr="007250AE" w:rsidRDefault="007250AE" w:rsidP="007250AE">
      <w:pPr>
        <w:pStyle w:val="NormalDOKBAT"/>
      </w:pPr>
      <w:r w:rsidRPr="007250AE">
        <w:t>Ministry of Industry and Trade. 2015. Operational Programme Enterprise and Innovation for Competitiveness 2014 – 2020. Retrieved from: http://www.mpo.cz/dokument157496.html</w:t>
      </w:r>
    </w:p>
    <w:p w:rsidR="007250AE" w:rsidRPr="007250AE" w:rsidRDefault="007250AE" w:rsidP="007250AE">
      <w:pPr>
        <w:pStyle w:val="NormalDOKBAT"/>
      </w:pPr>
      <w:r w:rsidRPr="007250AE">
        <w:t>Nowakowska-Grunt, J., Jelonek, D., &amp; Koscielniak, H. 2014. Logistics' clusters as a part of regional policy in poland. Paper presented at the 2014 International Conference on Advanced Logistics and Transport, ICALT 2014, 206-210. doi:10.1109/ICAdLT.2014.6866313</w:t>
      </w:r>
    </w:p>
    <w:p w:rsidR="007250AE" w:rsidRPr="007250AE" w:rsidRDefault="007250AE" w:rsidP="007250AE">
      <w:pPr>
        <w:pStyle w:val="NormalDOKBAT"/>
      </w:pPr>
      <w:r w:rsidRPr="007250AE">
        <w:t>Obadić, A. 2013. Specificities of EU cluster policies. Journal of Enterprising Communities, 7(1), 23-35. doi:10.1108/17506201311315581</w:t>
      </w:r>
    </w:p>
    <w:p w:rsidR="007250AE" w:rsidRPr="007250AE" w:rsidRDefault="007250AE" w:rsidP="007250AE">
      <w:pPr>
        <w:pStyle w:val="NormalDOKBAT"/>
      </w:pPr>
      <w:r w:rsidRPr="007250AE">
        <w:t>OECD. 2007. OECD Reviews of Regional Innovation: Competitive Regional Clusters. Paris: OECD</w:t>
      </w:r>
    </w:p>
    <w:p w:rsidR="007250AE" w:rsidRPr="007250AE" w:rsidRDefault="007250AE" w:rsidP="007250AE">
      <w:pPr>
        <w:pStyle w:val="NormalDOKBAT"/>
      </w:pPr>
      <w:r w:rsidRPr="007250AE">
        <w:t>PAVELKOVÁ, D., et al. 2009. Klastry a jejich vliv na výkonnost firem. 1. vyd. Praha: Grada, 2009. ISBN 978-80-247-2689-2.</w:t>
      </w:r>
    </w:p>
    <w:p w:rsidR="007250AE" w:rsidRPr="007250AE" w:rsidRDefault="007250AE" w:rsidP="007250AE">
      <w:pPr>
        <w:pStyle w:val="NormalDOKBAT"/>
      </w:pPr>
      <w:r w:rsidRPr="007250AE">
        <w:t>PAVELKOVÁ, D., et al. 2013a. Certified methodology for the National Cluster Policy. Zlín: Tomas Bata University in Zlín, Faculty of Management and Economics. ISBN 978-80-7454-326-5. Retrieved from: http://www.nca.cz/upload/nkp.pdf</w:t>
      </w:r>
    </w:p>
    <w:p w:rsidR="007250AE" w:rsidRPr="007250AE" w:rsidRDefault="007250AE" w:rsidP="007250AE">
      <w:pPr>
        <w:pStyle w:val="NormalDOKBAT"/>
      </w:pPr>
      <w:r w:rsidRPr="007250AE">
        <w:t>PAVELKOVÁ, D.,et al. 2013b. Certified methodology for the Regional Cluster Policy. Zlín: Tomas Bata University in Zlín, Faculty of Management and Economics. ISBN 978-80-7454-327-2. Retrieved from: http://www.nca.cz/upload/rkp.pdf</w:t>
      </w:r>
    </w:p>
    <w:p w:rsidR="007250AE" w:rsidRPr="007250AE" w:rsidRDefault="007250AE" w:rsidP="007250AE">
      <w:pPr>
        <w:pStyle w:val="NormalDOKBAT"/>
      </w:pPr>
      <w:r w:rsidRPr="007250AE">
        <w:t>Porter, M. 1990. The competitive advantage of nations. New York: The Free Press.</w:t>
      </w:r>
    </w:p>
    <w:p w:rsidR="007250AE" w:rsidRPr="007250AE" w:rsidRDefault="007250AE" w:rsidP="007250AE">
      <w:pPr>
        <w:pStyle w:val="NormalDOKBAT"/>
      </w:pPr>
      <w:r w:rsidRPr="007250AE">
        <w:t xml:space="preserve">Regional Innovation Monitor. 2012. Regional Innovation Report (Northern Central Sweden) [online]. Retrieved from: </w:t>
      </w:r>
      <w:hyperlink r:id="rId12" w:history="1">
        <w:r w:rsidRPr="007250AE">
          <w:rPr>
            <w:rStyle w:val="Hypertextovodkaz"/>
          </w:rPr>
          <w:t>https://ec.europa.eu/growth/tools-databases/regional-innovation-monitor/sites/default/files/report/northern_central_sweden_region_rim_report_120412.pdf</w:t>
        </w:r>
      </w:hyperlink>
    </w:p>
    <w:p w:rsidR="007250AE" w:rsidRPr="007250AE" w:rsidRDefault="007250AE" w:rsidP="007250AE">
      <w:pPr>
        <w:pStyle w:val="NormalDOKBAT"/>
      </w:pPr>
      <w:r w:rsidRPr="007250AE">
        <w:t>RUBALCABA L. 2015. Service innovation in developing economies: Policy rationale and framework. Emerging Markets Finance and Trade, 51(3), 540-557.</w:t>
      </w:r>
    </w:p>
    <w:p w:rsidR="007250AE" w:rsidRPr="007250AE" w:rsidRDefault="007250AE" w:rsidP="007250AE">
      <w:pPr>
        <w:pStyle w:val="NormalDOKBAT"/>
      </w:pPr>
      <w:r w:rsidRPr="007250AE">
        <w:t>Service cluster denmark. 2015. Facts and Features of Service Cluster Denmark. Retrieved from:</w:t>
      </w:r>
    </w:p>
    <w:p w:rsidR="007250AE" w:rsidRPr="007250AE" w:rsidRDefault="007250AE" w:rsidP="007250AE">
      <w:pPr>
        <w:pStyle w:val="NormalDOKBAT"/>
      </w:pPr>
      <w:r w:rsidRPr="007250AE">
        <w:t>http://www.serviceplatform.dk/sites/default/files/download/SP%20pixiebog_tryk_ENGLISH_0.pdf</w:t>
      </w:r>
    </w:p>
    <w:p w:rsidR="007250AE" w:rsidRPr="007250AE" w:rsidRDefault="007250AE" w:rsidP="007250AE">
      <w:pPr>
        <w:pStyle w:val="NormalDOKBAT"/>
      </w:pPr>
      <w:r w:rsidRPr="007250AE">
        <w:t>State of the Art Country Report Sweden. 2011. Research driven clusters. European Commission - Lifelong Learning Programme Retrieved from: http://www.innosee.eu/en/publications/research-driven-clusters-europe-sweden/</w:t>
      </w:r>
    </w:p>
    <w:p w:rsidR="007250AE" w:rsidRPr="007250AE" w:rsidRDefault="007250AE" w:rsidP="007250AE">
      <w:pPr>
        <w:pStyle w:val="NormalDOKBAT"/>
      </w:pPr>
      <w:r w:rsidRPr="007250AE">
        <w:t xml:space="preserve">Steiner, M., &amp; Hartmann, C. 2006. Organizational learning in clusters: A case study on material and immaterial dimensions of cooperation. Regional Studies,40(5), 493-506. doi: </w:t>
      </w:r>
      <w:hyperlink r:id="rId13" w:history="1">
        <w:r w:rsidRPr="007250AE">
          <w:rPr>
            <w:rStyle w:val="Hypertextovodkaz"/>
          </w:rPr>
          <w:t>http://dx.doi.org/10.1080/00343400600757494</w:t>
        </w:r>
      </w:hyperlink>
    </w:p>
    <w:p w:rsidR="007250AE" w:rsidRPr="007250AE" w:rsidRDefault="007250AE" w:rsidP="007250AE">
      <w:pPr>
        <w:pStyle w:val="NormalDOKBAT"/>
      </w:pPr>
      <w:r w:rsidRPr="007250AE">
        <w:t xml:space="preserve">Swann, P., &amp; Prevezer, M. 1996. A comparison of the dynamics of industrial clustering in computing and biotechnology. Research Policy,25(7), 1139–1157. </w:t>
      </w:r>
    </w:p>
    <w:p w:rsidR="007250AE" w:rsidRPr="007250AE" w:rsidRDefault="007250AE" w:rsidP="007250AE">
      <w:pPr>
        <w:pStyle w:val="NormalDOKBAT"/>
      </w:pPr>
      <w:r w:rsidRPr="007250AE">
        <w:t xml:space="preserve">doi: </w:t>
      </w:r>
      <w:hyperlink r:id="rId14" w:history="1">
        <w:r w:rsidRPr="007250AE">
          <w:rPr>
            <w:rStyle w:val="Hypertextovodkaz"/>
          </w:rPr>
          <w:t>http://dx.doi.org/10.1016/S0048-7333(96)00897-9</w:t>
        </w:r>
      </w:hyperlink>
    </w:p>
    <w:p w:rsidR="007250AE" w:rsidRPr="007250AE" w:rsidRDefault="007250AE" w:rsidP="007250AE">
      <w:pPr>
        <w:pStyle w:val="NormalDOKBAT"/>
      </w:pPr>
      <w:r w:rsidRPr="007250AE">
        <w:t xml:space="preserve">Truel, J., &amp; Volkov, S. K. 2015. Implementing a successful cluster policy: French experience. Revista Galega De Economia, 24(1), 111-120. </w:t>
      </w:r>
    </w:p>
    <w:p w:rsidR="007250AE" w:rsidRPr="007250AE" w:rsidRDefault="007250AE" w:rsidP="007250AE">
      <w:pPr>
        <w:pStyle w:val="NormalDOKBAT"/>
      </w:pPr>
      <w:r w:rsidRPr="007250AE">
        <w:t>Wolman, H., &amp; Hincapie, D. 2015. Clusters and cluster-based development policy. Economic Development Quarterly, 29(2), 135-149. doi:10.1177/0891242413517136</w:t>
      </w:r>
    </w:p>
    <w:p w:rsidR="007250AE" w:rsidRDefault="007250AE" w:rsidP="00854496">
      <w:pPr>
        <w:pStyle w:val="NormalDOKBAT"/>
      </w:pPr>
    </w:p>
    <w:p w:rsidR="00E9175F" w:rsidRPr="002D21C8" w:rsidRDefault="00E9175F" w:rsidP="00854496">
      <w:pPr>
        <w:pStyle w:val="NormalDOKBAT"/>
        <w:rPr>
          <w:lang w:val="en-GB"/>
        </w:rPr>
      </w:pPr>
    </w:p>
    <w:p w:rsidR="005209CF" w:rsidRPr="002D21C8" w:rsidRDefault="00065F43" w:rsidP="007250AE">
      <w:pPr>
        <w:pStyle w:val="ContactinformationDOKBAT"/>
        <w:rPr>
          <w:lang w:val="en-GB"/>
        </w:rPr>
      </w:pPr>
      <w:r w:rsidRPr="002D21C8">
        <w:rPr>
          <w:lang w:val="en-GB"/>
        </w:rPr>
        <w:t>Contact information</w:t>
      </w:r>
    </w:p>
    <w:p w:rsidR="007250AE" w:rsidRPr="007250AE" w:rsidRDefault="007250AE" w:rsidP="007250AE">
      <w:pPr>
        <w:pStyle w:val="ContactinformationDOKBAT"/>
      </w:pPr>
      <w:r>
        <w:t>Ing. Martin Horák</w:t>
      </w:r>
    </w:p>
    <w:p w:rsidR="007250AE" w:rsidRPr="007250AE" w:rsidRDefault="007250AE" w:rsidP="007250AE">
      <w:pPr>
        <w:pStyle w:val="ContactinformationDOKBAT"/>
      </w:pPr>
      <w:r>
        <w:t>Tomas Bata University in Zlín</w:t>
      </w:r>
    </w:p>
    <w:p w:rsidR="007250AE" w:rsidRPr="007250AE" w:rsidRDefault="007250AE" w:rsidP="007250AE">
      <w:pPr>
        <w:pStyle w:val="ContactinformationDOKBAT"/>
      </w:pPr>
      <w:r>
        <w:t>Faculty of Management and Economics</w:t>
      </w:r>
    </w:p>
    <w:p w:rsidR="007250AE" w:rsidRPr="007250AE" w:rsidRDefault="007250AE" w:rsidP="007250AE">
      <w:pPr>
        <w:pStyle w:val="ContactinformationDOKBAT"/>
      </w:pPr>
      <w:r>
        <w:t>Mostní 5139</w:t>
      </w:r>
    </w:p>
    <w:p w:rsidR="007250AE" w:rsidRPr="007250AE" w:rsidRDefault="007250AE" w:rsidP="007250AE">
      <w:pPr>
        <w:pStyle w:val="ContactinformationDOKBAT"/>
      </w:pPr>
      <w:r>
        <w:t>760 01 Zlín</w:t>
      </w:r>
    </w:p>
    <w:p w:rsidR="007250AE" w:rsidRDefault="007250AE" w:rsidP="007250AE">
      <w:pPr>
        <w:pStyle w:val="ContactinformationDOKBAT"/>
      </w:pPr>
    </w:p>
    <w:p w:rsidR="007250AE" w:rsidRPr="007250AE" w:rsidRDefault="007250AE" w:rsidP="007250AE">
      <w:pPr>
        <w:pStyle w:val="ContactinformationDOKBAT"/>
      </w:pPr>
      <w:r>
        <w:t>Telephone number: 728 483 184</w:t>
      </w:r>
    </w:p>
    <w:p w:rsidR="007250AE" w:rsidRPr="007250AE" w:rsidRDefault="007250AE" w:rsidP="007250AE">
      <w:pPr>
        <w:pStyle w:val="ContactinformationDOKBAT"/>
      </w:pPr>
      <w:r>
        <w:t>Email: mhorak@fame.utb.cz</w:t>
      </w:r>
    </w:p>
    <w:p w:rsidR="005209CF" w:rsidRPr="002D21C8" w:rsidRDefault="005209CF">
      <w:pPr>
        <w:rPr>
          <w:lang w:val="en-GB"/>
        </w:rPr>
      </w:pPr>
    </w:p>
    <w:p w:rsidR="005209CF" w:rsidRPr="002D21C8" w:rsidRDefault="005209CF">
      <w:pPr>
        <w:rPr>
          <w:lang w:val="en-GB"/>
        </w:rPr>
      </w:pPr>
    </w:p>
    <w:sectPr w:rsidR="005209CF" w:rsidRPr="002D21C8" w:rsidSect="008B6312">
      <w:footerReference w:type="default" r:id="rId15"/>
      <w:pgSz w:w="11906" w:h="16838"/>
      <w:pgMar w:top="1418" w:right="1418" w:bottom="1418" w:left="1418" w:header="708" w:footer="708" w:gutter="0"/>
      <w:pgNumType w:start="1"/>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24E60" w:rsidRDefault="00D24E60" w:rsidP="00D24E60">
      <w:pPr>
        <w:spacing w:after="0"/>
      </w:pPr>
      <w:r>
        <w:separator/>
      </w:r>
    </w:p>
  </w:endnote>
  <w:endnote w:type="continuationSeparator" w:id="0">
    <w:p w:rsidR="00D24E60" w:rsidRDefault="00D24E60" w:rsidP="00D24E60">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Georgia">
    <w:panose1 w:val="02040502050405020303"/>
    <w:charset w:val="EE"/>
    <w:family w:val="roman"/>
    <w:pitch w:val="variable"/>
    <w:sig w:usb0="00000287" w:usb1="00000000" w:usb2="00000000" w:usb3="00000000" w:csb0="0000009F" w:csb1="00000000"/>
  </w:font>
  <w:font w:name="Segoe UI">
    <w:panose1 w:val="020B0502040204020203"/>
    <w:charset w:val="EE"/>
    <w:family w:val="swiss"/>
    <w:pitch w:val="variable"/>
    <w:sig w:usb0="E10022FF" w:usb1="C000E47F" w:usb2="00000029" w:usb3="00000000" w:csb0="000001DF" w:csb1="00000000"/>
  </w:font>
  <w:font w:name="MinionPro-Regular">
    <w:altName w:val="MS Mincho"/>
    <w:panose1 w:val="00000000000000000000"/>
    <w:charset w:val="80"/>
    <w:family w:val="roman"/>
    <w:notTrueType/>
    <w:pitch w:val="default"/>
    <w:sig w:usb0="00000001" w:usb1="08070000" w:usb2="00000010" w:usb3="00000000" w:csb0="00020000"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81584307"/>
      <w:docPartObj>
        <w:docPartGallery w:val="Page Numbers (Bottom of Page)"/>
        <w:docPartUnique/>
      </w:docPartObj>
    </w:sdtPr>
    <w:sdtEndPr/>
    <w:sdtContent>
      <w:p w:rsidR="00D24E60" w:rsidRPr="00D24E60" w:rsidRDefault="008B6312">
        <w:pPr>
          <w:pStyle w:val="Zpat"/>
        </w:pPr>
        <w:r>
          <w:fldChar w:fldCharType="begin"/>
        </w:r>
        <w:r w:rsidR="00D24E60" w:rsidRPr="00D24E60">
          <w:instrText>PAGE   \* MERGEFORMAT</w:instrText>
        </w:r>
        <w:r>
          <w:fldChar w:fldCharType="separate"/>
        </w:r>
        <w:r w:rsidR="007431D5">
          <w:rPr>
            <w:noProof/>
          </w:rPr>
          <w:t>2</w:t>
        </w:r>
        <w:r>
          <w:fldChar w:fldCharType="end"/>
        </w:r>
      </w:p>
    </w:sdtContent>
  </w:sdt>
  <w:p w:rsidR="00D24E60" w:rsidRDefault="00D24E60">
    <w:pPr>
      <w:pStyle w:val="Zp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24E60" w:rsidRDefault="00D24E60" w:rsidP="00D24E60">
      <w:pPr>
        <w:spacing w:after="0"/>
      </w:pPr>
      <w:r>
        <w:separator/>
      </w:r>
    </w:p>
  </w:footnote>
  <w:footnote w:type="continuationSeparator" w:id="0">
    <w:p w:rsidR="00D24E60" w:rsidRDefault="00D24E60" w:rsidP="00D24E60">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5"/>
    <w:multiLevelType w:val="hybridMultilevel"/>
    <w:tmpl w:val="24EA9B62"/>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 w15:restartNumberingAfterBreak="0">
    <w:nsid w:val="00000007"/>
    <w:multiLevelType w:val="hybridMultilevel"/>
    <w:tmpl w:val="CECE4B98"/>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 w15:restartNumberingAfterBreak="0">
    <w:nsid w:val="0000000C"/>
    <w:multiLevelType w:val="hybridMultilevel"/>
    <w:tmpl w:val="628C1CA8"/>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 w15:restartNumberingAfterBreak="0">
    <w:nsid w:val="0000000E"/>
    <w:multiLevelType w:val="hybridMultilevel"/>
    <w:tmpl w:val="16B6926C"/>
    <w:lvl w:ilvl="0" w:tplc="BF5CB364">
      <w:start w:val="1"/>
      <w:numFmt w:val="decimal"/>
      <w:lvlText w:val="%1."/>
      <w:lvlJc w:val="left"/>
      <w:pPr>
        <w:ind w:left="360" w:hanging="360"/>
      </w:pPr>
      <w:rPr>
        <w:b w:val="0"/>
      </w:rPr>
    </w:lvl>
    <w:lvl w:ilvl="1" w:tplc="04050019" w:tentative="1">
      <w:start w:val="1"/>
      <w:numFmt w:val="lowerLetter"/>
      <w:lvlText w:val="%2."/>
      <w:lvlJc w:val="left"/>
      <w:pPr>
        <w:ind w:left="1080" w:hanging="360"/>
      </w:pPr>
    </w:lvl>
    <w:lvl w:ilvl="2" w:tplc="0405001B" w:tentative="1">
      <w:start w:val="1"/>
      <w:numFmt w:val="lowerRoman"/>
      <w:lvlText w:val="%3."/>
      <w:lvlJc w:val="right"/>
      <w:pPr>
        <w:ind w:left="1800" w:hanging="180"/>
      </w:pPr>
    </w:lvl>
    <w:lvl w:ilvl="3" w:tplc="0405000F" w:tentative="1">
      <w:start w:val="1"/>
      <w:numFmt w:val="decimal"/>
      <w:lvlText w:val="%4."/>
      <w:lvlJc w:val="left"/>
      <w:pPr>
        <w:ind w:left="2520" w:hanging="360"/>
      </w:pPr>
    </w:lvl>
    <w:lvl w:ilvl="4" w:tplc="04050019" w:tentative="1">
      <w:start w:val="1"/>
      <w:numFmt w:val="lowerLetter"/>
      <w:lvlText w:val="%5."/>
      <w:lvlJc w:val="left"/>
      <w:pPr>
        <w:ind w:left="3240" w:hanging="360"/>
      </w:pPr>
    </w:lvl>
    <w:lvl w:ilvl="5" w:tplc="0405001B" w:tentative="1">
      <w:start w:val="1"/>
      <w:numFmt w:val="lowerRoman"/>
      <w:lvlText w:val="%6."/>
      <w:lvlJc w:val="right"/>
      <w:pPr>
        <w:ind w:left="3960" w:hanging="180"/>
      </w:pPr>
    </w:lvl>
    <w:lvl w:ilvl="6" w:tplc="0405000F" w:tentative="1">
      <w:start w:val="1"/>
      <w:numFmt w:val="decimal"/>
      <w:lvlText w:val="%7."/>
      <w:lvlJc w:val="left"/>
      <w:pPr>
        <w:ind w:left="4680" w:hanging="360"/>
      </w:pPr>
    </w:lvl>
    <w:lvl w:ilvl="7" w:tplc="04050019" w:tentative="1">
      <w:start w:val="1"/>
      <w:numFmt w:val="lowerLetter"/>
      <w:lvlText w:val="%8."/>
      <w:lvlJc w:val="left"/>
      <w:pPr>
        <w:ind w:left="5400" w:hanging="360"/>
      </w:pPr>
    </w:lvl>
    <w:lvl w:ilvl="8" w:tplc="0405001B" w:tentative="1">
      <w:start w:val="1"/>
      <w:numFmt w:val="lowerRoman"/>
      <w:lvlText w:val="%9."/>
      <w:lvlJc w:val="right"/>
      <w:pPr>
        <w:ind w:left="6120" w:hanging="180"/>
      </w:pPr>
    </w:lvl>
  </w:abstractNum>
  <w:abstractNum w:abstractNumId="4" w15:restartNumberingAfterBreak="0">
    <w:nsid w:val="00000011"/>
    <w:multiLevelType w:val="hybridMultilevel"/>
    <w:tmpl w:val="968CF734"/>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 w15:restartNumberingAfterBreak="0">
    <w:nsid w:val="017D3588"/>
    <w:multiLevelType w:val="multilevel"/>
    <w:tmpl w:val="2CE4A988"/>
    <w:lvl w:ilvl="0">
      <w:start w:val="1"/>
      <w:numFmt w:val="decimal"/>
      <w:pStyle w:val="TitleofchapterDOKBAT"/>
      <w:lvlText w:val="%1"/>
      <w:lvlJc w:val="left"/>
      <w:pPr>
        <w:ind w:left="432" w:firstLine="0"/>
      </w:pPr>
      <w:rPr>
        <w:vertAlign w:val="baseline"/>
      </w:rPr>
    </w:lvl>
    <w:lvl w:ilvl="1">
      <w:start w:val="1"/>
      <w:numFmt w:val="decimal"/>
      <w:pStyle w:val="TitleofsubchapterDOKBAT"/>
      <w:lvlText w:val="%1.%2"/>
      <w:lvlJc w:val="left"/>
      <w:pPr>
        <w:ind w:left="454" w:firstLine="0"/>
      </w:pPr>
      <w:rPr>
        <w:vertAlign w:val="baseline"/>
      </w:rPr>
    </w:lvl>
    <w:lvl w:ilvl="2">
      <w:start w:val="1"/>
      <w:numFmt w:val="decimal"/>
      <w:lvlText w:val="%1.%2.%3"/>
      <w:lvlJc w:val="left"/>
      <w:pPr>
        <w:ind w:left="720" w:firstLine="0"/>
      </w:pPr>
      <w:rPr>
        <w:vertAlign w:val="baseline"/>
      </w:rPr>
    </w:lvl>
    <w:lvl w:ilvl="3">
      <w:start w:val="1"/>
      <w:numFmt w:val="decimal"/>
      <w:lvlText w:val="%1.%2.%3.%4"/>
      <w:lvlJc w:val="left"/>
      <w:pPr>
        <w:ind w:left="864" w:firstLine="0"/>
      </w:pPr>
      <w:rPr>
        <w:vertAlign w:val="baseline"/>
      </w:rPr>
    </w:lvl>
    <w:lvl w:ilvl="4">
      <w:start w:val="1"/>
      <w:numFmt w:val="decimal"/>
      <w:lvlText w:val="%1.%2.%3.%4.%5"/>
      <w:lvlJc w:val="left"/>
      <w:pPr>
        <w:ind w:left="1008" w:firstLine="0"/>
      </w:pPr>
      <w:rPr>
        <w:vertAlign w:val="baseline"/>
      </w:rPr>
    </w:lvl>
    <w:lvl w:ilvl="5">
      <w:start w:val="1"/>
      <w:numFmt w:val="decimal"/>
      <w:lvlText w:val="%1.%2.%3.%4.%5.%6"/>
      <w:lvlJc w:val="left"/>
      <w:pPr>
        <w:ind w:left="1152" w:firstLine="0"/>
      </w:pPr>
      <w:rPr>
        <w:vertAlign w:val="baseline"/>
      </w:rPr>
    </w:lvl>
    <w:lvl w:ilvl="6">
      <w:start w:val="1"/>
      <w:numFmt w:val="decimal"/>
      <w:lvlText w:val="%1.%2.%3.%4.%5.%6.%7"/>
      <w:lvlJc w:val="left"/>
      <w:pPr>
        <w:ind w:left="1296" w:firstLine="0"/>
      </w:pPr>
      <w:rPr>
        <w:vertAlign w:val="baseline"/>
      </w:rPr>
    </w:lvl>
    <w:lvl w:ilvl="7">
      <w:start w:val="1"/>
      <w:numFmt w:val="decimal"/>
      <w:lvlText w:val="%1.%2.%3.%4.%5.%6.%7.%8"/>
      <w:lvlJc w:val="left"/>
      <w:pPr>
        <w:ind w:left="1440" w:firstLine="0"/>
      </w:pPr>
      <w:rPr>
        <w:vertAlign w:val="baseline"/>
      </w:rPr>
    </w:lvl>
    <w:lvl w:ilvl="8">
      <w:start w:val="1"/>
      <w:numFmt w:val="decimal"/>
      <w:lvlText w:val="%1.%2.%3.%4.%5.%6.%7.%8.%9"/>
      <w:lvlJc w:val="left"/>
      <w:pPr>
        <w:ind w:left="1584" w:firstLine="0"/>
      </w:pPr>
      <w:rPr>
        <w:vertAlign w:val="baseline"/>
      </w:rPr>
    </w:lvl>
  </w:abstractNum>
  <w:abstractNum w:abstractNumId="6" w15:restartNumberingAfterBreak="0">
    <w:nsid w:val="571C071C"/>
    <w:multiLevelType w:val="hybridMultilevel"/>
    <w:tmpl w:val="010EDA8E"/>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7" w15:restartNumberingAfterBreak="0">
    <w:nsid w:val="73AD783B"/>
    <w:multiLevelType w:val="hybridMultilevel"/>
    <w:tmpl w:val="968CF734"/>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8" w15:restartNumberingAfterBreak="0">
    <w:nsid w:val="78A408B6"/>
    <w:multiLevelType w:val="multilevel"/>
    <w:tmpl w:val="B33EC7B4"/>
    <w:lvl w:ilvl="0">
      <w:start w:val="1"/>
      <w:numFmt w:val="decimal"/>
      <w:lvlText w:val="%1."/>
      <w:lvlJc w:val="left"/>
      <w:pPr>
        <w:ind w:left="851" w:firstLine="284"/>
      </w:pPr>
      <w:rPr>
        <w:vertAlign w:val="baseline"/>
      </w:rPr>
    </w:lvl>
    <w:lvl w:ilvl="1">
      <w:start w:val="1"/>
      <w:numFmt w:val="lowerLetter"/>
      <w:lvlText w:val="%2."/>
      <w:lvlJc w:val="left"/>
      <w:pPr>
        <w:ind w:left="1440" w:firstLine="1080"/>
      </w:pPr>
      <w:rPr>
        <w:vertAlign w:val="baseline"/>
      </w:rPr>
    </w:lvl>
    <w:lvl w:ilvl="2">
      <w:start w:val="1"/>
      <w:numFmt w:val="lowerRoman"/>
      <w:lvlText w:val="%3."/>
      <w:lvlJc w:val="right"/>
      <w:pPr>
        <w:ind w:left="2160" w:firstLine="1980"/>
      </w:pPr>
      <w:rPr>
        <w:vertAlign w:val="baseline"/>
      </w:rPr>
    </w:lvl>
    <w:lvl w:ilvl="3">
      <w:start w:val="1"/>
      <w:numFmt w:val="decimal"/>
      <w:lvlText w:val="%4."/>
      <w:lvlJc w:val="left"/>
      <w:pPr>
        <w:ind w:left="2880" w:firstLine="2520"/>
      </w:pPr>
      <w:rPr>
        <w:vertAlign w:val="baseline"/>
      </w:rPr>
    </w:lvl>
    <w:lvl w:ilvl="4">
      <w:start w:val="1"/>
      <w:numFmt w:val="lowerLetter"/>
      <w:lvlText w:val="%5."/>
      <w:lvlJc w:val="left"/>
      <w:pPr>
        <w:ind w:left="3600" w:firstLine="3240"/>
      </w:pPr>
      <w:rPr>
        <w:vertAlign w:val="baseline"/>
      </w:rPr>
    </w:lvl>
    <w:lvl w:ilvl="5">
      <w:start w:val="1"/>
      <w:numFmt w:val="lowerRoman"/>
      <w:lvlText w:val="%6."/>
      <w:lvlJc w:val="right"/>
      <w:pPr>
        <w:ind w:left="4320" w:firstLine="4140"/>
      </w:pPr>
      <w:rPr>
        <w:vertAlign w:val="baseline"/>
      </w:rPr>
    </w:lvl>
    <w:lvl w:ilvl="6">
      <w:start w:val="1"/>
      <w:numFmt w:val="decimal"/>
      <w:lvlText w:val="%7."/>
      <w:lvlJc w:val="left"/>
      <w:pPr>
        <w:ind w:left="5040" w:firstLine="4680"/>
      </w:pPr>
      <w:rPr>
        <w:vertAlign w:val="baseline"/>
      </w:rPr>
    </w:lvl>
    <w:lvl w:ilvl="7">
      <w:start w:val="1"/>
      <w:numFmt w:val="lowerLetter"/>
      <w:pStyle w:val="Nadpis8"/>
      <w:lvlText w:val="%8."/>
      <w:lvlJc w:val="left"/>
      <w:pPr>
        <w:ind w:left="5760" w:firstLine="5400"/>
      </w:pPr>
      <w:rPr>
        <w:vertAlign w:val="baseline"/>
      </w:rPr>
    </w:lvl>
    <w:lvl w:ilvl="8">
      <w:start w:val="1"/>
      <w:numFmt w:val="lowerRoman"/>
      <w:pStyle w:val="Nadpis9"/>
      <w:lvlText w:val="%9."/>
      <w:lvlJc w:val="right"/>
      <w:pPr>
        <w:ind w:left="6480" w:firstLine="6300"/>
      </w:pPr>
      <w:rPr>
        <w:vertAlign w:val="baseline"/>
      </w:rPr>
    </w:lvl>
  </w:abstractNum>
  <w:num w:numId="1">
    <w:abstractNumId w:val="8"/>
  </w:num>
  <w:num w:numId="2">
    <w:abstractNumId w:val="5"/>
  </w:num>
  <w:num w:numId="3">
    <w:abstractNumId w:val="6"/>
  </w:num>
  <w:num w:numId="4">
    <w:abstractNumId w:val="3"/>
  </w:num>
  <w:num w:numId="5">
    <w:abstractNumId w:val="4"/>
  </w:num>
  <w:num w:numId="6">
    <w:abstractNumId w:val="4"/>
  </w:num>
  <w:num w:numId="7">
    <w:abstractNumId w:val="0"/>
  </w:num>
  <w:num w:numId="8">
    <w:abstractNumId w:val="1"/>
  </w:num>
  <w:num w:numId="9">
    <w:abstractNumId w:val="2"/>
  </w:num>
  <w:num w:numId="1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hideSpellingErrors/>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formatting="1" w:enforcement="1" w:cryptProviderType="rsaAES" w:cryptAlgorithmClass="hash" w:cryptAlgorithmType="typeAny" w:cryptAlgorithmSid="14" w:cryptSpinCount="100000" w:hash="vfB9fcbwFd0VwfGyjZyNrP+2RJt8phg8hOnz3mFrWN/GH8ZEF68wB5V2VTWLtzgE3lSiALjuApCPYNDn+t9FcA==" w:salt="ZcPsXkJf+CkxtJCG+h1Fdg=="/>
  <w:styleLockQFSet/>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209CF"/>
    <w:rsid w:val="00057A69"/>
    <w:rsid w:val="00065F43"/>
    <w:rsid w:val="00136032"/>
    <w:rsid w:val="001644C1"/>
    <w:rsid w:val="001E35FA"/>
    <w:rsid w:val="002A408F"/>
    <w:rsid w:val="002D21C8"/>
    <w:rsid w:val="00302D55"/>
    <w:rsid w:val="00314704"/>
    <w:rsid w:val="003D30EA"/>
    <w:rsid w:val="004859B4"/>
    <w:rsid w:val="005209CF"/>
    <w:rsid w:val="0060055E"/>
    <w:rsid w:val="006422C0"/>
    <w:rsid w:val="006A0C27"/>
    <w:rsid w:val="00714D8E"/>
    <w:rsid w:val="00716346"/>
    <w:rsid w:val="007250AE"/>
    <w:rsid w:val="007431D5"/>
    <w:rsid w:val="00771307"/>
    <w:rsid w:val="00775D9B"/>
    <w:rsid w:val="007D5699"/>
    <w:rsid w:val="00854496"/>
    <w:rsid w:val="008B6312"/>
    <w:rsid w:val="00920013"/>
    <w:rsid w:val="00AF43FB"/>
    <w:rsid w:val="00C01FA7"/>
    <w:rsid w:val="00C4556D"/>
    <w:rsid w:val="00C70C87"/>
    <w:rsid w:val="00C820CB"/>
    <w:rsid w:val="00C937B9"/>
    <w:rsid w:val="00CF7B9B"/>
    <w:rsid w:val="00D24E60"/>
    <w:rsid w:val="00E54812"/>
    <w:rsid w:val="00E905D0"/>
    <w:rsid w:val="00E9175F"/>
    <w:rsid w:val="00EA67F9"/>
    <w:rsid w:val="00ED4860"/>
    <w:rsid w:val="00F30308"/>
    <w:rsid w:val="00F61C77"/>
  </w:rsids>
  <m:mathPr>
    <m:mathFont m:val="Cambria Math"/>
    <m:brkBin m:val="before"/>
    <m:brkBinSub m:val="--"/>
    <m:smallFrac/>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B86959A-9BA9-4E86-A435-8B18388D8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color w:val="000000"/>
        <w:sz w:val="22"/>
        <w:szCs w:val="22"/>
        <w:lang w:val="cs-CZ" w:eastAsia="cs-CZ"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locked="1" w:uiPriority="9" w:qFormat="1"/>
    <w:lsdException w:name="heading 2" w:locked="1" w:semiHidden="1" w:uiPriority="9" w:unhideWhenUsed="1" w:qFormat="1"/>
    <w:lsdException w:name="heading 3" w:locked="1" w:semiHidden="1" w:uiPriority="9" w:unhideWhenUsed="1" w:qFormat="1"/>
    <w:lsdException w:name="heading 4" w:locked="1" w:semiHidden="1" w:uiPriority="9" w:unhideWhenUsed="1" w:qFormat="1"/>
    <w:lsdException w:name="heading 5" w:locked="1" w:semiHidden="1" w:uiPriority="9" w:unhideWhenUsed="1" w:qFormat="1"/>
    <w:lsdException w:name="heading 6" w:locked="1" w:semiHidden="1" w:uiPriority="9" w:unhideWhenUsed="1" w:qFormat="1"/>
    <w:lsdException w:name="heading 7" w:locked="1"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qFormat="1"/>
    <w:lsdException w:name="Emphasis" w:locked="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39"/>
    <w:lsdException w:name="Table Theme" w:semiHidden="1" w:unhideWhenUsed="1"/>
    <w:lsdException w:name="Placeholder Text" w:semiHidden="1"/>
    <w:lsdException w:name="No Spacing" w:locked="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locked="1" w:uiPriority="34" w:qFormat="1"/>
    <w:lsdException w:name="Quote" w:locked="1" w:uiPriority="29" w:qFormat="1"/>
    <w:lsdException w:name="Intense Quote" w:locked="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qFormat="1"/>
    <w:lsdException w:name="Intense Emphasis" w:locked="1" w:uiPriority="21" w:qFormat="1"/>
    <w:lsdException w:name="Subtle Reference" w:locked="1" w:uiPriority="31" w:qFormat="1"/>
    <w:lsdException w:name="Intense Reference" w:locked="1" w:uiPriority="32" w:qFormat="1"/>
    <w:lsdException w:name="Book Title" w:locked="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854496"/>
    <w:pPr>
      <w:spacing w:after="120" w:line="240" w:lineRule="auto"/>
      <w:jc w:val="both"/>
    </w:pPr>
  </w:style>
  <w:style w:type="paragraph" w:styleId="Nadpis1">
    <w:name w:val="heading 1"/>
    <w:basedOn w:val="Normln"/>
    <w:next w:val="Normln"/>
    <w:locked/>
    <w:rsid w:val="008B6312"/>
    <w:pPr>
      <w:keepNext/>
      <w:keepLines/>
      <w:spacing w:before="360"/>
      <w:ind w:left="432" w:hanging="431"/>
      <w:outlineLvl w:val="0"/>
    </w:pPr>
    <w:rPr>
      <w:rFonts w:ascii="Times New Roman" w:eastAsia="Times New Roman" w:hAnsi="Times New Roman" w:cs="Times New Roman"/>
      <w:b/>
      <w:smallCaps/>
      <w:sz w:val="28"/>
    </w:rPr>
  </w:style>
  <w:style w:type="paragraph" w:styleId="Nadpis2">
    <w:name w:val="heading 2"/>
    <w:basedOn w:val="Normln"/>
    <w:next w:val="Normln"/>
    <w:locked/>
    <w:rsid w:val="008B6312"/>
    <w:pPr>
      <w:keepNext/>
      <w:keepLines/>
      <w:spacing w:before="240"/>
      <w:ind w:left="454" w:hanging="453"/>
      <w:outlineLvl w:val="1"/>
    </w:pPr>
    <w:rPr>
      <w:rFonts w:ascii="Times New Roman" w:eastAsia="Times New Roman" w:hAnsi="Times New Roman" w:cs="Times New Roman"/>
      <w:b/>
      <w:sz w:val="24"/>
    </w:rPr>
  </w:style>
  <w:style w:type="paragraph" w:styleId="Nadpis3">
    <w:name w:val="heading 3"/>
    <w:basedOn w:val="Normln"/>
    <w:next w:val="Normln"/>
    <w:locked/>
    <w:rsid w:val="008B6312"/>
    <w:pPr>
      <w:keepNext/>
      <w:keepLines/>
      <w:spacing w:before="280" w:after="80"/>
      <w:contextualSpacing/>
      <w:outlineLvl w:val="2"/>
    </w:pPr>
    <w:rPr>
      <w:b/>
      <w:sz w:val="28"/>
    </w:rPr>
  </w:style>
  <w:style w:type="paragraph" w:styleId="Nadpis4">
    <w:name w:val="heading 4"/>
    <w:basedOn w:val="Normln"/>
    <w:next w:val="Normln"/>
    <w:locked/>
    <w:rsid w:val="008B6312"/>
    <w:pPr>
      <w:keepNext/>
      <w:keepLines/>
      <w:spacing w:before="240" w:after="40"/>
      <w:contextualSpacing/>
      <w:outlineLvl w:val="3"/>
    </w:pPr>
    <w:rPr>
      <w:b/>
      <w:sz w:val="24"/>
    </w:rPr>
  </w:style>
  <w:style w:type="paragraph" w:styleId="Nadpis5">
    <w:name w:val="heading 5"/>
    <w:basedOn w:val="Normln"/>
    <w:next w:val="Normln"/>
    <w:locked/>
    <w:rsid w:val="008B6312"/>
    <w:pPr>
      <w:keepNext/>
      <w:keepLines/>
      <w:spacing w:before="220" w:after="40"/>
      <w:contextualSpacing/>
      <w:outlineLvl w:val="4"/>
    </w:pPr>
    <w:rPr>
      <w:b/>
    </w:rPr>
  </w:style>
  <w:style w:type="paragraph" w:styleId="Nadpis6">
    <w:name w:val="heading 6"/>
    <w:basedOn w:val="Normln"/>
    <w:next w:val="Normln"/>
    <w:locked/>
    <w:rsid w:val="008B6312"/>
    <w:pPr>
      <w:keepNext/>
      <w:keepLines/>
      <w:spacing w:before="200" w:after="40"/>
      <w:contextualSpacing/>
      <w:outlineLvl w:val="5"/>
    </w:pPr>
    <w:rPr>
      <w:b/>
      <w:sz w:val="20"/>
    </w:rPr>
  </w:style>
  <w:style w:type="paragraph" w:styleId="Nadpis7">
    <w:name w:val="heading 7"/>
    <w:basedOn w:val="Normln"/>
    <w:next w:val="Normln"/>
    <w:link w:val="Nadpis7Char"/>
    <w:uiPriority w:val="9"/>
    <w:semiHidden/>
    <w:unhideWhenUsed/>
    <w:qFormat/>
    <w:locked/>
    <w:rsid w:val="00C70C87"/>
    <w:pPr>
      <w:keepNext/>
      <w:keepLines/>
      <w:spacing w:before="40" w:after="0"/>
      <w:outlineLvl w:val="6"/>
    </w:pPr>
    <w:rPr>
      <w:rFonts w:asciiTheme="majorHAnsi" w:eastAsiaTheme="majorEastAsia" w:hAnsiTheme="majorHAnsi" w:cstheme="majorBidi"/>
      <w:i/>
      <w:iCs/>
      <w:color w:val="1F4D78" w:themeColor="accent1" w:themeShade="7F"/>
    </w:rPr>
  </w:style>
  <w:style w:type="paragraph" w:styleId="Nadpis8">
    <w:name w:val="heading 8"/>
    <w:basedOn w:val="Normln"/>
    <w:next w:val="Normln"/>
    <w:link w:val="Nadpis8Char"/>
    <w:uiPriority w:val="9"/>
    <w:qFormat/>
    <w:rsid w:val="00C70C87"/>
    <w:pPr>
      <w:keepNext/>
      <w:keepLines/>
      <w:numPr>
        <w:ilvl w:val="7"/>
        <w:numId w:val="1"/>
      </w:numPr>
      <w:spacing w:before="200" w:after="0" w:line="276" w:lineRule="auto"/>
      <w:jc w:val="left"/>
      <w:outlineLvl w:val="7"/>
    </w:pPr>
    <w:rPr>
      <w:rFonts w:asciiTheme="majorHAnsi" w:eastAsiaTheme="majorEastAsia" w:hAnsiTheme="majorHAnsi" w:cstheme="majorBidi"/>
      <w:color w:val="404040"/>
      <w:sz w:val="20"/>
      <w:szCs w:val="20"/>
      <w:lang w:eastAsia="en-US"/>
    </w:rPr>
  </w:style>
  <w:style w:type="paragraph" w:styleId="Nadpis9">
    <w:name w:val="heading 9"/>
    <w:basedOn w:val="Normln"/>
    <w:next w:val="Normln"/>
    <w:link w:val="Nadpis9Char"/>
    <w:uiPriority w:val="9"/>
    <w:qFormat/>
    <w:rsid w:val="00C70C87"/>
    <w:pPr>
      <w:keepNext/>
      <w:keepLines/>
      <w:numPr>
        <w:ilvl w:val="8"/>
        <w:numId w:val="1"/>
      </w:numPr>
      <w:spacing w:before="200" w:after="0" w:line="276" w:lineRule="auto"/>
      <w:jc w:val="left"/>
      <w:outlineLvl w:val="8"/>
    </w:pPr>
    <w:rPr>
      <w:rFonts w:asciiTheme="majorHAnsi" w:eastAsiaTheme="majorEastAsia" w:hAnsiTheme="majorHAnsi" w:cstheme="majorBidi"/>
      <w:i/>
      <w:iCs/>
      <w:color w:val="404040"/>
      <w:sz w:val="20"/>
      <w:szCs w:val="20"/>
      <w:lang w:eastAsia="en-US"/>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table" w:customStyle="1" w:styleId="TableNormal">
    <w:name w:val="Table Normal"/>
    <w:locked/>
    <w:rsid w:val="008B6312"/>
    <w:tblPr>
      <w:tblCellMar>
        <w:top w:w="0" w:type="dxa"/>
        <w:left w:w="0" w:type="dxa"/>
        <w:bottom w:w="0" w:type="dxa"/>
        <w:right w:w="0" w:type="dxa"/>
      </w:tblCellMar>
    </w:tblPr>
  </w:style>
  <w:style w:type="paragraph" w:styleId="Nzev">
    <w:name w:val="Title"/>
    <w:basedOn w:val="Normln"/>
    <w:next w:val="Normln"/>
    <w:locked/>
    <w:rsid w:val="008B6312"/>
    <w:pPr>
      <w:keepNext/>
      <w:keepLines/>
      <w:jc w:val="center"/>
    </w:pPr>
    <w:rPr>
      <w:rFonts w:ascii="Times New Roman" w:eastAsia="Times New Roman" w:hAnsi="Times New Roman" w:cs="Times New Roman"/>
      <w:b/>
      <w:smallCaps/>
      <w:sz w:val="28"/>
    </w:rPr>
  </w:style>
  <w:style w:type="paragraph" w:styleId="Podnadpis">
    <w:name w:val="Subtitle"/>
    <w:basedOn w:val="Normln"/>
    <w:next w:val="Normln"/>
    <w:locked/>
    <w:rsid w:val="008B6312"/>
    <w:pPr>
      <w:keepNext/>
      <w:keepLines/>
      <w:spacing w:before="360" w:after="80"/>
      <w:contextualSpacing/>
    </w:pPr>
    <w:rPr>
      <w:rFonts w:ascii="Georgia" w:eastAsia="Georgia" w:hAnsi="Georgia" w:cs="Georgia"/>
      <w:i/>
      <w:color w:val="666666"/>
      <w:sz w:val="48"/>
    </w:rPr>
  </w:style>
  <w:style w:type="table" w:customStyle="1" w:styleId="a">
    <w:basedOn w:val="TableNormal"/>
    <w:locked/>
    <w:rsid w:val="008B6312"/>
    <w:tblPr>
      <w:tblStyleRowBandSize w:val="1"/>
      <w:tblStyleColBandSize w:val="1"/>
      <w:tblCellMar>
        <w:left w:w="108" w:type="dxa"/>
        <w:right w:w="108" w:type="dxa"/>
      </w:tblCellMar>
    </w:tblPr>
  </w:style>
  <w:style w:type="paragraph" w:styleId="Textbubliny">
    <w:name w:val="Balloon Text"/>
    <w:basedOn w:val="Normln"/>
    <w:link w:val="TextbublinyChar"/>
    <w:uiPriority w:val="99"/>
    <w:semiHidden/>
    <w:unhideWhenUsed/>
    <w:rsid w:val="00065F43"/>
    <w:rPr>
      <w:rFonts w:ascii="Segoe UI" w:hAnsi="Segoe UI" w:cs="Segoe UI"/>
      <w:sz w:val="18"/>
      <w:szCs w:val="18"/>
    </w:rPr>
  </w:style>
  <w:style w:type="character" w:customStyle="1" w:styleId="TextbublinyChar">
    <w:name w:val="Text bubliny Char"/>
    <w:basedOn w:val="Standardnpsmoodstavce"/>
    <w:link w:val="Textbubliny"/>
    <w:uiPriority w:val="99"/>
    <w:semiHidden/>
    <w:rsid w:val="00065F43"/>
    <w:rPr>
      <w:rFonts w:ascii="Segoe UI" w:hAnsi="Segoe UI" w:cs="Segoe UI"/>
      <w:sz w:val="18"/>
      <w:szCs w:val="18"/>
    </w:rPr>
  </w:style>
  <w:style w:type="paragraph" w:customStyle="1" w:styleId="NormalDOKBAT">
    <w:name w:val="Normal_DOKBAT"/>
    <w:basedOn w:val="Normln"/>
    <w:autoRedefine/>
    <w:qFormat/>
    <w:rsid w:val="00C70C87"/>
    <w:pPr>
      <w:spacing w:before="120"/>
    </w:pPr>
    <w:rPr>
      <w:rFonts w:ascii="Times New Roman" w:eastAsia="Times New Roman" w:hAnsi="Times New Roman" w:cs="Times New Roman"/>
      <w:sz w:val="24"/>
    </w:rPr>
  </w:style>
  <w:style w:type="paragraph" w:customStyle="1" w:styleId="TitleofcontributionDOKBAT">
    <w:name w:val="Title of contribution_DOKBAT"/>
    <w:basedOn w:val="Nzev"/>
    <w:qFormat/>
    <w:rsid w:val="00CF7B9B"/>
  </w:style>
  <w:style w:type="paragraph" w:customStyle="1" w:styleId="NameofauthorsDOKBAT">
    <w:name w:val="Name of authors_DOKBAT"/>
    <w:basedOn w:val="Normln"/>
    <w:autoRedefine/>
    <w:qFormat/>
    <w:rsid w:val="00854496"/>
    <w:pPr>
      <w:jc w:val="center"/>
    </w:pPr>
    <w:rPr>
      <w:rFonts w:ascii="Times New Roman" w:eastAsia="Times New Roman" w:hAnsi="Times New Roman" w:cs="Times New Roman"/>
      <w:i/>
      <w:sz w:val="28"/>
      <w:lang w:val="en-GB"/>
    </w:rPr>
  </w:style>
  <w:style w:type="paragraph" w:customStyle="1" w:styleId="KeywordsDOKBAT">
    <w:name w:val="Keywords_DOKBAT"/>
    <w:basedOn w:val="Normln"/>
    <w:qFormat/>
    <w:rsid w:val="00136032"/>
    <w:pPr>
      <w:spacing w:before="240"/>
    </w:pPr>
    <w:rPr>
      <w:rFonts w:ascii="Times New Roman" w:eastAsia="Times New Roman" w:hAnsi="Times New Roman" w:cs="Times New Roman"/>
      <w:i/>
      <w:sz w:val="24"/>
    </w:rPr>
  </w:style>
  <w:style w:type="paragraph" w:customStyle="1" w:styleId="TitleofchapterDOKBAT">
    <w:name w:val="Title of chapter_DOKBAT"/>
    <w:basedOn w:val="Nadpis1"/>
    <w:qFormat/>
    <w:rsid w:val="007D5699"/>
    <w:pPr>
      <w:numPr>
        <w:numId w:val="2"/>
      </w:numPr>
    </w:pPr>
  </w:style>
  <w:style w:type="paragraph" w:customStyle="1" w:styleId="TitleofsubchapterDOKBAT">
    <w:name w:val="Title of subchapter_DOKBAT"/>
    <w:basedOn w:val="Nadpis2"/>
    <w:qFormat/>
    <w:rsid w:val="007D5699"/>
    <w:pPr>
      <w:numPr>
        <w:ilvl w:val="1"/>
        <w:numId w:val="2"/>
      </w:numPr>
    </w:pPr>
  </w:style>
  <w:style w:type="paragraph" w:customStyle="1" w:styleId="Abstract">
    <w:name w:val="Abstract"/>
    <w:aliases w:val="references,contact_DOKBAT"/>
    <w:basedOn w:val="Normln"/>
    <w:qFormat/>
    <w:locked/>
    <w:rsid w:val="00136032"/>
    <w:pPr>
      <w:spacing w:before="240"/>
    </w:pPr>
    <w:rPr>
      <w:rFonts w:ascii="Times New Roman" w:eastAsia="Times New Roman" w:hAnsi="Times New Roman" w:cs="Times New Roman"/>
      <w:b/>
    </w:rPr>
  </w:style>
  <w:style w:type="paragraph" w:styleId="Titulek">
    <w:name w:val="caption"/>
    <w:basedOn w:val="Normln"/>
    <w:next w:val="Normln"/>
    <w:autoRedefine/>
    <w:uiPriority w:val="35"/>
    <w:unhideWhenUsed/>
    <w:qFormat/>
    <w:locked/>
    <w:rsid w:val="006A0C27"/>
    <w:pPr>
      <w:spacing w:after="200"/>
      <w:jc w:val="center"/>
    </w:pPr>
    <w:rPr>
      <w:iCs/>
      <w:color w:val="auto"/>
      <w:sz w:val="20"/>
      <w:szCs w:val="18"/>
    </w:rPr>
  </w:style>
  <w:style w:type="paragraph" w:customStyle="1" w:styleId="TitleofTablesDOKBAT">
    <w:name w:val="Title of Tables_DOKBAT"/>
    <w:basedOn w:val="Titulek"/>
    <w:autoRedefine/>
    <w:qFormat/>
    <w:rsid w:val="00136032"/>
    <w:rPr>
      <w:rFonts w:ascii="Times New Roman" w:hAnsi="Times New Roman"/>
    </w:rPr>
  </w:style>
  <w:style w:type="paragraph" w:customStyle="1" w:styleId="TitleoffigureDOKBAT">
    <w:name w:val="Title of figure_DOKBAT"/>
    <w:basedOn w:val="Titulek"/>
    <w:autoRedefine/>
    <w:qFormat/>
    <w:rsid w:val="00136032"/>
    <w:rPr>
      <w:rFonts w:ascii="Times New Roman" w:hAnsi="Times New Roman"/>
    </w:rPr>
  </w:style>
  <w:style w:type="paragraph" w:customStyle="1" w:styleId="ContactinformationDOKBAT">
    <w:name w:val="Contact information_DOKBAT"/>
    <w:basedOn w:val="Normln"/>
    <w:autoRedefine/>
    <w:qFormat/>
    <w:rsid w:val="00136032"/>
    <w:rPr>
      <w:rFonts w:ascii="Times New Roman" w:eastAsia="Times New Roman" w:hAnsi="Times New Roman" w:cs="Times New Roman"/>
      <w:sz w:val="24"/>
    </w:rPr>
  </w:style>
  <w:style w:type="character" w:styleId="Siln">
    <w:name w:val="Strong"/>
    <w:basedOn w:val="Standardnpsmoodstavce"/>
    <w:uiPriority w:val="22"/>
    <w:qFormat/>
    <w:locked/>
    <w:rsid w:val="007250AE"/>
    <w:rPr>
      <w:b/>
      <w:bCs/>
    </w:rPr>
  </w:style>
  <w:style w:type="paragraph" w:styleId="Odstavecseseznamem">
    <w:name w:val="List Paragraph"/>
    <w:basedOn w:val="Normln"/>
    <w:uiPriority w:val="34"/>
    <w:qFormat/>
    <w:locked/>
    <w:rsid w:val="007250AE"/>
    <w:pPr>
      <w:ind w:left="720"/>
      <w:contextualSpacing/>
    </w:pPr>
  </w:style>
  <w:style w:type="character" w:styleId="Hypertextovodkaz">
    <w:name w:val="Hyperlink"/>
    <w:basedOn w:val="Standardnpsmoodstavce"/>
    <w:uiPriority w:val="99"/>
    <w:rsid w:val="007250AE"/>
    <w:rPr>
      <w:color w:val="0000FF"/>
      <w:u w:val="single"/>
    </w:rPr>
  </w:style>
  <w:style w:type="table" w:styleId="Mkatabulky">
    <w:name w:val="Table Grid"/>
    <w:basedOn w:val="Normlntabulka"/>
    <w:uiPriority w:val="39"/>
    <w:locked/>
    <w:rsid w:val="0060055E"/>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7Char">
    <w:name w:val="Nadpis 7 Char"/>
    <w:basedOn w:val="Standardnpsmoodstavce"/>
    <w:link w:val="Nadpis7"/>
    <w:uiPriority w:val="9"/>
    <w:semiHidden/>
    <w:rsid w:val="00C70C87"/>
    <w:rPr>
      <w:rFonts w:asciiTheme="majorHAnsi" w:eastAsiaTheme="majorEastAsia" w:hAnsiTheme="majorHAnsi" w:cstheme="majorBidi"/>
      <w:i/>
      <w:iCs/>
      <w:color w:val="1F4D78" w:themeColor="accent1" w:themeShade="7F"/>
    </w:rPr>
  </w:style>
  <w:style w:type="character" w:customStyle="1" w:styleId="Nadpis8Char">
    <w:name w:val="Nadpis 8 Char"/>
    <w:basedOn w:val="Standardnpsmoodstavce"/>
    <w:link w:val="Nadpis8"/>
    <w:uiPriority w:val="9"/>
    <w:rsid w:val="00C70C87"/>
    <w:rPr>
      <w:rFonts w:asciiTheme="majorHAnsi" w:eastAsiaTheme="majorEastAsia" w:hAnsiTheme="majorHAnsi" w:cstheme="majorBidi"/>
      <w:color w:val="404040"/>
      <w:sz w:val="20"/>
      <w:szCs w:val="20"/>
      <w:lang w:eastAsia="en-US"/>
    </w:rPr>
  </w:style>
  <w:style w:type="character" w:customStyle="1" w:styleId="Nadpis9Char">
    <w:name w:val="Nadpis 9 Char"/>
    <w:basedOn w:val="Standardnpsmoodstavce"/>
    <w:link w:val="Nadpis9"/>
    <w:uiPriority w:val="9"/>
    <w:rsid w:val="00C70C87"/>
    <w:rPr>
      <w:rFonts w:asciiTheme="majorHAnsi" w:eastAsiaTheme="majorEastAsia" w:hAnsiTheme="majorHAnsi" w:cstheme="majorBidi"/>
      <w:i/>
      <w:iCs/>
      <w:color w:val="404040"/>
      <w:sz w:val="20"/>
      <w:szCs w:val="20"/>
      <w:lang w:eastAsia="en-US"/>
    </w:rPr>
  </w:style>
  <w:style w:type="paragraph" w:styleId="Normlnweb">
    <w:name w:val="Normal (Web)"/>
    <w:basedOn w:val="Normln"/>
    <w:uiPriority w:val="99"/>
    <w:rsid w:val="00714D8E"/>
    <w:pPr>
      <w:spacing w:before="100" w:beforeAutospacing="1" w:after="100" w:afterAutospacing="1"/>
      <w:jc w:val="left"/>
    </w:pPr>
    <w:rPr>
      <w:rFonts w:ascii="Times New Roman" w:eastAsia="Times New Roman" w:hAnsi="Times New Roman" w:cs="Times New Roman"/>
      <w:color w:val="auto"/>
      <w:sz w:val="24"/>
      <w:szCs w:val="24"/>
    </w:rPr>
  </w:style>
  <w:style w:type="paragraph" w:styleId="Zhlav">
    <w:name w:val="header"/>
    <w:basedOn w:val="Normln"/>
    <w:link w:val="ZhlavChar"/>
    <w:uiPriority w:val="99"/>
    <w:unhideWhenUsed/>
    <w:rsid w:val="00D24E60"/>
    <w:pPr>
      <w:tabs>
        <w:tab w:val="center" w:pos="4536"/>
        <w:tab w:val="right" w:pos="9072"/>
      </w:tabs>
      <w:spacing w:after="0"/>
    </w:pPr>
  </w:style>
  <w:style w:type="character" w:customStyle="1" w:styleId="ZhlavChar">
    <w:name w:val="Záhlaví Char"/>
    <w:basedOn w:val="Standardnpsmoodstavce"/>
    <w:link w:val="Zhlav"/>
    <w:uiPriority w:val="99"/>
    <w:rsid w:val="00D24E60"/>
  </w:style>
  <w:style w:type="paragraph" w:styleId="Zpat">
    <w:name w:val="footer"/>
    <w:basedOn w:val="Normln"/>
    <w:link w:val="ZpatChar"/>
    <w:uiPriority w:val="99"/>
    <w:unhideWhenUsed/>
    <w:rsid w:val="00D24E60"/>
    <w:pPr>
      <w:tabs>
        <w:tab w:val="center" w:pos="4536"/>
        <w:tab w:val="right" w:pos="9072"/>
      </w:tabs>
      <w:spacing w:after="0"/>
    </w:pPr>
  </w:style>
  <w:style w:type="character" w:customStyle="1" w:styleId="ZpatChar">
    <w:name w:val="Zápatí Char"/>
    <w:basedOn w:val="Standardnpsmoodstavce"/>
    <w:link w:val="Zpat"/>
    <w:uiPriority w:val="99"/>
    <w:rsid w:val="00D24E6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http://www.rismsk.cz/soubory_texty/34_1.pdf" TargetMode="External"/><Relationship Id="rId13" Type="http://schemas.openxmlformats.org/officeDocument/2006/relationships/hyperlink" Target="http://dx.doi.org/10.1080/00343400600757494"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ec.europa.eu/growth/tools-databases/regional-innovation-monitor/sites/default/files/report/northern_central_sweden_region_rim_report_120412.pdf"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scopus.com"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ec.europa.eu/growth/tools-databases/esic/" TargetMode="External"/><Relationship Id="rId4" Type="http://schemas.openxmlformats.org/officeDocument/2006/relationships/settings" Target="settings.xml"/><Relationship Id="rId9" Type="http://schemas.openxmlformats.org/officeDocument/2006/relationships/hyperlink" Target="http://ec.europa.eu/enterprise/policies/innovation/files/swd_services_en.pdf" TargetMode="External"/><Relationship Id="rId14" Type="http://schemas.openxmlformats.org/officeDocument/2006/relationships/hyperlink" Target="http://dx.doi.org/10.1016/S0048-7333%2896%2900897-9" TargetMode="External"/></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7B9E6A4-F007-4F36-83A8-B13C0892F8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5762</Words>
  <Characters>33996</Characters>
  <Application>Microsoft Office Word</Application>
  <DocSecurity>4</DocSecurity>
  <Lines>283</Lines>
  <Paragraphs>79</Paragraphs>
  <ScaleCrop>false</ScaleCrop>
  <HeadingPairs>
    <vt:vector size="2" baseType="variant">
      <vt:variant>
        <vt:lpstr>Název</vt:lpstr>
      </vt:variant>
      <vt:variant>
        <vt:i4>1</vt:i4>
      </vt:variant>
    </vt:vector>
  </HeadingPairs>
  <TitlesOfParts>
    <vt:vector size="1" baseType="lpstr">
      <vt:lpstr/>
    </vt:vector>
  </TitlesOfParts>
  <Company>UTB ve Zline</Company>
  <LinksUpToDate>false</LinksUpToDate>
  <CharactersWithSpaces>39679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Orlitová Gabriela</dc:creator>
  <cp:lastModifiedBy>Hana Janečková</cp:lastModifiedBy>
  <cp:revision>2</cp:revision>
  <cp:lastPrinted>2015-02-23T11:02:00Z</cp:lastPrinted>
  <dcterms:created xsi:type="dcterms:W3CDTF">2019-08-07T13:43:00Z</dcterms:created>
  <dcterms:modified xsi:type="dcterms:W3CDTF">2019-08-07T13:43:00Z</dcterms:modified>
</cp:coreProperties>
</file>